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720"/>
        </w:tabs>
        <w:ind w:left="0" w:leftChars="0"/>
        <w:jc w:val="center"/>
        <w:rPr>
          <w:rFonts w:hint="eastAsia" w:ascii="宋体" w:hAnsi="宋体"/>
          <w:b/>
          <w:sz w:val="30"/>
          <w:szCs w:val="30"/>
        </w:rPr>
      </w:pPr>
      <w:r>
        <w:rPr>
          <w:rFonts w:hint="eastAsia" w:ascii="宋体" w:hAnsi="宋体"/>
          <w:b/>
          <w:sz w:val="30"/>
          <w:szCs w:val="30"/>
        </w:rPr>
        <w:t>建信理财建信宝按日开放式净值型理财产品第21期</w:t>
      </w:r>
      <w:r>
        <w:rPr>
          <w:rFonts w:hint="eastAsia" w:ascii="宋体" w:hAnsi="宋体"/>
          <w:b/>
          <w:sz w:val="30"/>
          <w:szCs w:val="30"/>
          <w:lang w:val="en-US" w:eastAsia="zh-CN"/>
        </w:rPr>
        <w:t xml:space="preserve">         </w:t>
      </w:r>
      <w:r>
        <w:rPr>
          <w:rFonts w:hint="eastAsia" w:ascii="宋体" w:hAnsi="宋体"/>
          <w:b/>
          <w:sz w:val="30"/>
          <w:szCs w:val="30"/>
        </w:rPr>
        <w:t>风险揭示书</w:t>
      </w:r>
    </w:p>
    <w:p>
      <w:pPr>
        <w:pStyle w:val="5"/>
        <w:tabs>
          <w:tab w:val="left" w:pos="720"/>
        </w:tabs>
        <w:spacing w:line="280" w:lineRule="exact"/>
        <w:ind w:left="0" w:leftChars="0"/>
        <w:jc w:val="center"/>
        <w:rPr>
          <w:rFonts w:hint="eastAsia" w:ascii="宋体" w:hAnsi="宋体"/>
          <w:b/>
          <w:szCs w:val="21"/>
        </w:rPr>
      </w:pPr>
      <w:r>
        <w:rPr>
          <w:rFonts w:hint="eastAsia" w:ascii="宋体" w:hAnsi="宋体"/>
          <w:b/>
          <w:szCs w:val="21"/>
        </w:rPr>
        <w:t>理财非存款、产品有风险、投资须谨慎。</w:t>
      </w:r>
    </w:p>
    <w:p>
      <w:pPr>
        <w:pStyle w:val="5"/>
        <w:tabs>
          <w:tab w:val="left" w:pos="720"/>
        </w:tabs>
        <w:spacing w:line="280" w:lineRule="exact"/>
        <w:ind w:left="0" w:leftChars="0"/>
        <w:jc w:val="center"/>
        <w:rPr>
          <w:rFonts w:hint="eastAsia" w:ascii="宋体" w:hAnsi="宋体"/>
          <w:b/>
          <w:szCs w:val="21"/>
        </w:rPr>
      </w:pPr>
      <w:r>
        <w:rPr>
          <w:rFonts w:hint="eastAsia" w:ascii="宋体" w:hAnsi="宋体"/>
          <w:b/>
          <w:szCs w:val="21"/>
        </w:rPr>
        <w:t>理财产品过往业绩不代表其未来表现，不等于理财产品实际收益，投资须谨慎。</w:t>
      </w:r>
    </w:p>
    <w:p>
      <w:pPr>
        <w:pStyle w:val="5"/>
        <w:tabs>
          <w:tab w:val="left" w:pos="720"/>
        </w:tabs>
        <w:spacing w:line="280" w:lineRule="exact"/>
        <w:ind w:left="0" w:leftChars="0"/>
        <w:jc w:val="center"/>
        <w:rPr>
          <w:rFonts w:hint="eastAsia" w:ascii="宋体" w:hAnsi="宋体"/>
          <w:b/>
          <w:szCs w:val="21"/>
        </w:rPr>
      </w:pPr>
      <w:r>
        <w:rPr>
          <w:rFonts w:hint="eastAsia" w:ascii="宋体" w:hAnsi="宋体"/>
          <w:b/>
          <w:szCs w:val="21"/>
        </w:rPr>
        <w:t>本产品由建信理财有限责任公司发行与管理，代销机构不承担产品的投资和兑付责任。</w:t>
      </w:r>
    </w:p>
    <w:p>
      <w:pPr>
        <w:pStyle w:val="5"/>
        <w:tabs>
          <w:tab w:val="left" w:pos="720"/>
        </w:tabs>
        <w:ind w:left="0" w:leftChars="0"/>
        <w:rPr>
          <w:rFonts w:hint="eastAsia" w:ascii="宋体" w:hAnsi="宋体"/>
          <w:szCs w:val="21"/>
        </w:rPr>
      </w:pPr>
    </w:p>
    <w:p>
      <w:pPr>
        <w:pStyle w:val="5"/>
        <w:tabs>
          <w:tab w:val="left" w:pos="720"/>
        </w:tabs>
        <w:ind w:left="0" w:leftChars="0"/>
        <w:rPr>
          <w:rFonts w:hint="eastAsia" w:ascii="宋体" w:hAnsi="宋体"/>
          <w:b/>
          <w:szCs w:val="21"/>
        </w:rPr>
      </w:pPr>
      <w:r>
        <w:rPr>
          <w:rFonts w:hint="eastAsia" w:ascii="宋体" w:hAnsi="宋体"/>
          <w:b/>
          <w:szCs w:val="21"/>
        </w:rPr>
        <w:t>尊敬的投资者：</w:t>
      </w:r>
    </w:p>
    <w:p>
      <w:pPr>
        <w:pStyle w:val="5"/>
        <w:tabs>
          <w:tab w:val="left" w:pos="720"/>
        </w:tabs>
        <w:ind w:left="0" w:leftChars="0" w:firstLine="417" w:firstLineChars="199"/>
        <w:rPr>
          <w:rFonts w:hint="eastAsia" w:ascii="宋体" w:hAnsi="宋体"/>
          <w:szCs w:val="21"/>
        </w:rPr>
      </w:pPr>
      <w:r>
        <w:rPr>
          <w:rFonts w:hint="eastAsia" w:ascii="宋体" w:hAnsi="宋体"/>
          <w:szCs w:val="21"/>
        </w:rPr>
        <w:t>理财产品管理运作过程中，可能会面临多种风险因素。因此，根据相关监管规定的要求，建信理财有限责任公司（以下简称“产品管理人”）郑重提示：</w:t>
      </w:r>
    </w:p>
    <w:p>
      <w:pPr>
        <w:pStyle w:val="22"/>
        <w:ind w:firstLine="402" w:firstLineChars="200"/>
        <w:rPr>
          <w:rFonts w:hint="eastAsia" w:ascii="宋体" w:hAnsi="宋体" w:eastAsia="宋体"/>
          <w:b/>
          <w:color w:val="auto"/>
          <w:sz w:val="20"/>
          <w:szCs w:val="20"/>
        </w:rPr>
      </w:pPr>
      <w:r>
        <w:rPr>
          <w:rFonts w:hint="eastAsia" w:ascii="宋体" w:hAnsi="宋体" w:eastAsia="宋体"/>
          <w:b/>
          <w:color w:val="auto"/>
          <w:sz w:val="20"/>
          <w:szCs w:val="20"/>
        </w:rPr>
        <w:t>本产品的托管人与产品管理人存在关联关系，产品管理人向本产品的托管人支付托管费，存在关联交易。</w:t>
      </w:r>
    </w:p>
    <w:p>
      <w:pPr>
        <w:pStyle w:val="5"/>
        <w:tabs>
          <w:tab w:val="left" w:pos="720"/>
        </w:tabs>
        <w:ind w:left="0" w:leftChars="0" w:firstLine="420" w:firstLineChars="199"/>
        <w:rPr>
          <w:rFonts w:hint="eastAsia" w:ascii="宋体" w:hAnsi="宋体"/>
          <w:szCs w:val="21"/>
        </w:rPr>
      </w:pPr>
      <w:r>
        <w:rPr>
          <w:rFonts w:hint="eastAsia" w:ascii="宋体" w:hAnsi="宋体"/>
          <w:b/>
          <w:bCs/>
          <w:szCs w:val="21"/>
        </w:rPr>
        <w:t>本产品为非保本浮动收益型理财产品，不保证本金和收益。业绩比较基准等表述均不等同于实际收益。投资者应当充分认识投资风险，谨慎投资。投资者进行投资时，应严格遵守反逃税、反洗钱及反恐怖融资等相关法规、监管的规定，切实履行反逃税、反洗钱及反恐怖融资义务，配合开展非居民金融账户涉税信息尽职调查工作。投资者不得使用贷款、发行债券或资产管理产品等筹集的非自有资金投资本产品。本产品任何业绩比较基准、测算收益或类似表述均属不具有法律约束力的用语，业绩比较基准不是预期收益率，不代表投资者可能获得的实际收益，亦不构成产品管理人对本产品的任何收益承诺。请投资者充分认识投资风险，谨慎投资。本产品无固定期限（产品管理人有权提前终止产品），投资者可在开放时间内进行申购、赎回。</w:t>
      </w:r>
    </w:p>
    <w:p>
      <w:pPr>
        <w:pStyle w:val="5"/>
        <w:tabs>
          <w:tab w:val="left" w:pos="720"/>
        </w:tabs>
        <w:ind w:left="0" w:leftChars="0" w:firstLine="422" w:firstLineChars="200"/>
        <w:rPr>
          <w:rFonts w:hint="eastAsia" w:ascii="宋体" w:hAnsi="宋体"/>
          <w:b/>
          <w:bCs/>
          <w:szCs w:val="21"/>
          <w:u w:val="single"/>
        </w:rPr>
      </w:pPr>
      <w:r>
        <w:rPr>
          <w:rFonts w:hint="eastAsia" w:ascii="宋体" w:hAnsi="宋体"/>
          <w:b/>
          <w:szCs w:val="21"/>
        </w:rPr>
        <w:t>本产品为固定收益类理财产品，固定收益类理财产品指按照投资性质分类，并非指收益固定或保本。本产品内部风险评级级别为R1低风险，适用于【谨慎型、稳健型、平衡型、进取型、激进型】投资者</w:t>
      </w:r>
      <w:r>
        <w:rPr>
          <w:rFonts w:hint="eastAsia" w:ascii="宋体" w:hAnsi="宋体"/>
          <w:b/>
          <w:bCs/>
          <w:szCs w:val="21"/>
        </w:rPr>
        <w:t>。该产品通过代销机构渠道销售的，代销机构将对理财产品进行风险评级并对投资者进行风险承受能力测评，理财产品评级应当以代销机构最终披露的评级结果为准。代销机构的评级结果与管理人不一致的，将采用对应较高风险等级的评级结果。</w:t>
      </w:r>
    </w:p>
    <w:p>
      <w:pPr>
        <w:pStyle w:val="5"/>
        <w:tabs>
          <w:tab w:val="left" w:pos="720"/>
        </w:tabs>
        <w:ind w:left="0" w:leftChars="0" w:firstLine="422" w:firstLineChars="200"/>
        <w:rPr>
          <w:rFonts w:hint="eastAsia" w:ascii="宋体" w:hAnsi="宋体"/>
          <w:b/>
          <w:bCs/>
          <w:szCs w:val="21"/>
        </w:rPr>
      </w:pPr>
      <w:r>
        <w:rPr>
          <w:rFonts w:hint="eastAsia" w:ascii="宋体" w:hAnsi="宋体"/>
          <w:b/>
          <w:bCs/>
          <w:szCs w:val="21"/>
          <w:u w:val="single"/>
        </w:rPr>
        <w:t>示例：若投资者购买本产品，购买本金为1000元，最不利情况下，本产品基础资产无法回收任何本金和收益，投资者将损失全部本金1000元。</w:t>
      </w:r>
    </w:p>
    <w:p>
      <w:pPr>
        <w:pStyle w:val="5"/>
        <w:tabs>
          <w:tab w:val="left" w:pos="720"/>
        </w:tabs>
        <w:ind w:left="0" w:leftChars="0" w:firstLine="420" w:firstLineChars="199"/>
        <w:rPr>
          <w:rFonts w:hint="eastAsia" w:ascii="宋体" w:hAnsi="宋体"/>
          <w:b/>
          <w:szCs w:val="21"/>
        </w:rPr>
      </w:pPr>
      <w:r>
        <w:rPr>
          <w:rFonts w:hint="eastAsia" w:ascii="宋体" w:hAnsi="宋体"/>
          <w:b/>
          <w:szCs w:val="21"/>
        </w:rPr>
        <w:t>如影响投资者风险承受能力的因素发生变化，请及时完成风险承受能力评估。</w:t>
      </w:r>
    </w:p>
    <w:p>
      <w:pPr>
        <w:pStyle w:val="5"/>
        <w:tabs>
          <w:tab w:val="left" w:pos="720"/>
        </w:tabs>
        <w:ind w:left="0" w:leftChars="0" w:firstLine="420" w:firstLineChars="199"/>
        <w:rPr>
          <w:rFonts w:hint="eastAsia" w:ascii="宋体" w:hAnsi="宋体"/>
          <w:b/>
          <w:bCs/>
          <w:szCs w:val="21"/>
        </w:rPr>
      </w:pPr>
      <w:r>
        <w:rPr>
          <w:rFonts w:hint="eastAsia" w:ascii="宋体" w:hAnsi="宋体"/>
          <w:b/>
          <w:bCs/>
          <w:szCs w:val="21"/>
        </w:rPr>
        <w:t>产品管理人内部风险评级说明如下：</w:t>
      </w:r>
    </w:p>
    <w:tbl>
      <w:tblPr>
        <w:tblStyle w:val="10"/>
        <w:tblW w:w="7454" w:type="dxa"/>
        <w:tblInd w:w="52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39"/>
        <w:gridCol w:w="3000"/>
        <w:gridCol w:w="25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39"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风险等级</w:t>
            </w:r>
          </w:p>
        </w:tc>
        <w:tc>
          <w:tcPr>
            <w:tcW w:w="3000"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评级说明</w:t>
            </w:r>
          </w:p>
        </w:tc>
        <w:tc>
          <w:tcPr>
            <w:tcW w:w="2515"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适用群体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39"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R1</w:t>
            </w:r>
          </w:p>
          <w:p>
            <w:pPr>
              <w:pStyle w:val="5"/>
              <w:tabs>
                <w:tab w:val="left" w:pos="720"/>
              </w:tabs>
              <w:ind w:left="0" w:leftChars="0"/>
              <w:jc w:val="center"/>
              <w:rPr>
                <w:rFonts w:hint="eastAsia" w:ascii="宋体" w:hAnsi="宋体"/>
                <w:b/>
                <w:bCs/>
                <w:szCs w:val="21"/>
              </w:rPr>
            </w:pPr>
            <w:r>
              <w:rPr>
                <w:rFonts w:hint="eastAsia" w:ascii="宋体" w:hAnsi="宋体"/>
                <w:b/>
                <w:bCs/>
                <w:szCs w:val="21"/>
              </w:rPr>
              <w:t>低风险</w:t>
            </w:r>
          </w:p>
        </w:tc>
        <w:tc>
          <w:tcPr>
            <w:tcW w:w="3000"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不提供本金保护，投资者本金损失的概率很低</w:t>
            </w:r>
          </w:p>
        </w:tc>
        <w:tc>
          <w:tcPr>
            <w:tcW w:w="2515"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谨慎型、稳健型、平衡型、进取型、激进型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39"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R2</w:t>
            </w:r>
          </w:p>
          <w:p>
            <w:pPr>
              <w:pStyle w:val="5"/>
              <w:tabs>
                <w:tab w:val="left" w:pos="720"/>
              </w:tabs>
              <w:ind w:left="0" w:leftChars="0"/>
              <w:jc w:val="center"/>
              <w:rPr>
                <w:rFonts w:hint="eastAsia" w:ascii="宋体" w:hAnsi="宋体"/>
                <w:b/>
                <w:bCs/>
                <w:szCs w:val="21"/>
              </w:rPr>
            </w:pPr>
            <w:r>
              <w:rPr>
                <w:rFonts w:hint="eastAsia" w:ascii="宋体" w:hAnsi="宋体"/>
                <w:b/>
                <w:bCs/>
                <w:szCs w:val="21"/>
              </w:rPr>
              <w:t>中低风险</w:t>
            </w:r>
          </w:p>
        </w:tc>
        <w:tc>
          <w:tcPr>
            <w:tcW w:w="3000"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不提供本金保护，投资者本金损失的概率较低</w:t>
            </w:r>
          </w:p>
        </w:tc>
        <w:tc>
          <w:tcPr>
            <w:tcW w:w="2515"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稳健型、平衡型、进取型、激进型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39"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R3</w:t>
            </w:r>
          </w:p>
          <w:p>
            <w:pPr>
              <w:pStyle w:val="5"/>
              <w:tabs>
                <w:tab w:val="left" w:pos="720"/>
              </w:tabs>
              <w:ind w:left="0" w:leftChars="0"/>
              <w:jc w:val="center"/>
              <w:rPr>
                <w:rFonts w:hint="eastAsia" w:ascii="宋体" w:hAnsi="宋体"/>
                <w:b/>
                <w:bCs/>
                <w:szCs w:val="21"/>
              </w:rPr>
            </w:pPr>
            <w:r>
              <w:rPr>
                <w:rFonts w:hint="eastAsia" w:ascii="宋体" w:hAnsi="宋体"/>
                <w:b/>
                <w:bCs/>
                <w:szCs w:val="21"/>
              </w:rPr>
              <w:t>中风险</w:t>
            </w:r>
          </w:p>
        </w:tc>
        <w:tc>
          <w:tcPr>
            <w:tcW w:w="3000"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不提供本金保护，投资者本金存在一定的损失概率</w:t>
            </w:r>
          </w:p>
        </w:tc>
        <w:tc>
          <w:tcPr>
            <w:tcW w:w="2515"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平衡型、进取型、激进型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39"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R4</w:t>
            </w:r>
          </w:p>
          <w:p>
            <w:pPr>
              <w:pStyle w:val="5"/>
              <w:tabs>
                <w:tab w:val="left" w:pos="720"/>
              </w:tabs>
              <w:ind w:left="0" w:leftChars="0"/>
              <w:jc w:val="center"/>
              <w:rPr>
                <w:rFonts w:hint="eastAsia" w:ascii="宋体" w:hAnsi="宋体"/>
                <w:b/>
                <w:bCs/>
                <w:szCs w:val="21"/>
              </w:rPr>
            </w:pPr>
            <w:r>
              <w:rPr>
                <w:rFonts w:hint="eastAsia" w:ascii="宋体" w:hAnsi="宋体"/>
                <w:b/>
                <w:bCs/>
                <w:szCs w:val="21"/>
              </w:rPr>
              <w:t>中高风险</w:t>
            </w:r>
          </w:p>
        </w:tc>
        <w:tc>
          <w:tcPr>
            <w:tcW w:w="3000"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不提供本金保护，投资者本金损失的概率较高</w:t>
            </w:r>
          </w:p>
        </w:tc>
        <w:tc>
          <w:tcPr>
            <w:tcW w:w="2515"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进取型、激进型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39"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R5</w:t>
            </w:r>
          </w:p>
          <w:p>
            <w:pPr>
              <w:pStyle w:val="5"/>
              <w:tabs>
                <w:tab w:val="left" w:pos="720"/>
              </w:tabs>
              <w:ind w:left="0" w:leftChars="0"/>
              <w:jc w:val="center"/>
              <w:rPr>
                <w:rFonts w:hint="eastAsia" w:ascii="宋体" w:hAnsi="宋体"/>
                <w:b/>
                <w:bCs/>
                <w:szCs w:val="21"/>
              </w:rPr>
            </w:pPr>
            <w:r>
              <w:rPr>
                <w:rFonts w:hint="eastAsia" w:ascii="宋体" w:hAnsi="宋体"/>
                <w:b/>
                <w:bCs/>
                <w:szCs w:val="21"/>
              </w:rPr>
              <w:t>高风险</w:t>
            </w:r>
          </w:p>
        </w:tc>
        <w:tc>
          <w:tcPr>
            <w:tcW w:w="3000"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不提供本金保护，投资者本金损失的概率很高</w:t>
            </w:r>
          </w:p>
        </w:tc>
        <w:tc>
          <w:tcPr>
            <w:tcW w:w="2515" w:type="dxa"/>
            <w:vAlign w:val="center"/>
          </w:tcPr>
          <w:p>
            <w:pPr>
              <w:pStyle w:val="5"/>
              <w:tabs>
                <w:tab w:val="left" w:pos="720"/>
              </w:tabs>
              <w:ind w:left="0" w:leftChars="0"/>
              <w:jc w:val="center"/>
              <w:rPr>
                <w:rFonts w:hint="eastAsia" w:ascii="宋体" w:hAnsi="宋体"/>
                <w:b/>
                <w:bCs/>
                <w:szCs w:val="21"/>
              </w:rPr>
            </w:pPr>
            <w:r>
              <w:rPr>
                <w:rFonts w:hint="eastAsia" w:ascii="宋体" w:hAnsi="宋体"/>
                <w:b/>
                <w:bCs/>
                <w:szCs w:val="21"/>
              </w:rPr>
              <w:t>激进型</w:t>
            </w:r>
          </w:p>
        </w:tc>
      </w:tr>
    </w:tbl>
    <w:p>
      <w:pPr>
        <w:pStyle w:val="5"/>
        <w:tabs>
          <w:tab w:val="left" w:pos="720"/>
        </w:tabs>
        <w:ind w:left="0" w:leftChars="0" w:firstLine="420" w:firstLineChars="199"/>
        <w:rPr>
          <w:rFonts w:hint="eastAsia" w:ascii="宋体" w:hAnsi="宋体"/>
          <w:b/>
          <w:bCs/>
          <w:szCs w:val="21"/>
        </w:rPr>
      </w:pPr>
    </w:p>
    <w:p>
      <w:pPr>
        <w:pStyle w:val="5"/>
        <w:tabs>
          <w:tab w:val="left" w:pos="720"/>
        </w:tabs>
        <w:ind w:left="0" w:leftChars="0" w:firstLine="420" w:firstLineChars="199"/>
        <w:rPr>
          <w:rFonts w:hint="eastAsia" w:ascii="宋体" w:hAnsi="宋体"/>
          <w:szCs w:val="21"/>
        </w:rPr>
      </w:pPr>
      <w:r>
        <w:rPr>
          <w:rFonts w:hint="eastAsia" w:ascii="宋体" w:hAnsi="宋体"/>
          <w:b/>
          <w:bCs/>
          <w:szCs w:val="21"/>
        </w:rPr>
        <w:t>注：本风险评级为产品管理人内部评级结果，该评级仅供参考，不具备法律效力。</w:t>
      </w:r>
    </w:p>
    <w:p>
      <w:pPr>
        <w:pStyle w:val="5"/>
        <w:tabs>
          <w:tab w:val="left" w:pos="720"/>
        </w:tabs>
        <w:ind w:left="0" w:leftChars="0" w:firstLine="420" w:firstLineChars="199"/>
        <w:rPr>
          <w:rFonts w:hint="eastAsia" w:ascii="宋体" w:hAnsi="宋体"/>
          <w:b/>
          <w:bCs/>
          <w:szCs w:val="21"/>
        </w:rPr>
      </w:pPr>
      <w:r>
        <w:rPr>
          <w:rFonts w:hint="eastAsia" w:ascii="宋体" w:hAnsi="宋体"/>
          <w:b/>
          <w:bCs/>
          <w:szCs w:val="21"/>
        </w:rPr>
        <w:t>在投资者选择购买理财产品前，请注意投资风险，仔细阅读理财产品销售文件，了解理财产品具体情况。投资者应在详细了解和审慎评估该理财产品的资金投资方向、风险评</w:t>
      </w:r>
      <w:bookmarkStart w:id="0" w:name="_GoBack"/>
      <w:bookmarkEnd w:id="0"/>
      <w:r>
        <w:rPr>
          <w:rFonts w:hint="eastAsia" w:ascii="宋体" w:hAnsi="宋体"/>
          <w:b/>
          <w:bCs/>
          <w:szCs w:val="21"/>
        </w:rPr>
        <w:t>级等基本情况后，自行决定购买与自身风险承受能力和资产管理需求匹配的理财产品。产品管理人提醒投资者应本着“充分了解风险，自主选择购买”的原则，谨慎决策，自愿将其合法所有的资金用于购买本产品。产品管理人将按照产品说明书有关“信息披露”的约定进行产品信息披露。在购买本产品后，投资者应随时关注产品的信息披露情况，及时获取相关信息。产品管理人不承担下述风险：</w:t>
      </w:r>
    </w:p>
    <w:p>
      <w:pPr>
        <w:pStyle w:val="5"/>
        <w:tabs>
          <w:tab w:val="left" w:pos="720"/>
        </w:tabs>
        <w:spacing w:after="93" w:afterLines="30"/>
        <w:ind w:left="0" w:leftChars="0" w:firstLine="420" w:firstLineChars="200"/>
        <w:rPr>
          <w:rFonts w:hint="eastAsia" w:ascii="宋体" w:hAnsi="宋体" w:cs="宋体"/>
          <w:szCs w:val="20"/>
        </w:rPr>
      </w:pPr>
      <w:r>
        <w:rPr>
          <w:rFonts w:hint="eastAsia" w:ascii="宋体" w:hAnsi="宋体" w:cs="宋体"/>
          <w:szCs w:val="20"/>
        </w:rPr>
        <w:t>1.</w:t>
      </w:r>
      <w:r>
        <w:rPr>
          <w:rFonts w:hint="eastAsia" w:ascii="宋体" w:hAnsi="宋体" w:cs="宋体"/>
          <w:b/>
          <w:szCs w:val="20"/>
        </w:rPr>
        <w:t>政策风险</w:t>
      </w:r>
      <w:r>
        <w:rPr>
          <w:rFonts w:hint="eastAsia" w:ascii="宋体" w:hAnsi="宋体" w:cs="宋体"/>
          <w:szCs w:val="20"/>
        </w:rPr>
        <w:t>：本产品是依照当前的法律法规、相关监管规定和政策设计的。如国家宏观政策以及市场法律法规、相关监管规定发生变化，可能影响产品的受理、投资运作、清算等业务的正常进行，并导致本产品收益较低甚至本金损失，也可能导致本产品违反国家法律、法规或者其他合同的有关规定，进而导致本产品被宣告无效、撤销、解除或提前终止等。若本产品投资境外资产，所投资的境外国家或地区出现大的变化，如政府更迭、政策调整、制度变革、国内出现动乱、对外政治关系发生危机等，都可能对理财产品所参与的投资市场或投资产品造成直接或者是间接的负面冲击。在境外证券投资过程中，投资地所在国家或地区的政府部门为了控制社会经济而制定法律、法规，进行监督检查、行政处罚、行政裁决等行政处理行为，可能直接影响到投资运作、交易结算、资金汇出入等业务环节，给理财产品造成财产损失、交易延误、转换币种兑付等相关风险。</w:t>
      </w:r>
    </w:p>
    <w:p>
      <w:pPr>
        <w:spacing w:after="120"/>
        <w:ind w:firstLine="422" w:firstLineChars="200"/>
        <w:rPr>
          <w:rFonts w:hint="eastAsia" w:ascii="宋体" w:hAnsi="宋体" w:cs="黑体"/>
          <w:kern w:val="0"/>
          <w:szCs w:val="21"/>
        </w:rPr>
      </w:pPr>
      <w:r>
        <w:rPr>
          <w:rFonts w:hint="eastAsia" w:ascii="宋体" w:hAnsi="宋体" w:cs="黑体"/>
          <w:b/>
          <w:kern w:val="0"/>
          <w:szCs w:val="21"/>
        </w:rPr>
        <w:t>2. 信用风险：</w:t>
      </w:r>
      <w:r>
        <w:rPr>
          <w:rFonts w:hint="eastAsia" w:ascii="宋体" w:hAnsi="宋体" w:cs="黑体"/>
          <w:kern w:val="0"/>
          <w:szCs w:val="21"/>
        </w:rPr>
        <w:t>本产品的基础资产项下义务人可能出现违约情形，若义务人发生信用风险事件，将导致相关金融产品的市场价值下跌或收益较低、到期本金无法足额按时偿还，从而使投资者本金部分损失、甚至本金全部损失的风险。</w:t>
      </w:r>
    </w:p>
    <w:p>
      <w:pPr>
        <w:pStyle w:val="5"/>
        <w:tabs>
          <w:tab w:val="left" w:pos="720"/>
        </w:tabs>
        <w:spacing w:after="30"/>
        <w:ind w:left="0" w:leftChars="0" w:firstLine="402"/>
        <w:rPr>
          <w:rFonts w:hint="eastAsia" w:ascii="宋体" w:hAnsi="宋体"/>
          <w:b/>
          <w:szCs w:val="20"/>
        </w:rPr>
      </w:pPr>
      <w:r>
        <w:rPr>
          <w:rFonts w:hint="eastAsia" w:ascii="宋体" w:hAnsi="宋体" w:cs="黑体"/>
          <w:b/>
          <w:kern w:val="0"/>
          <w:szCs w:val="21"/>
        </w:rPr>
        <w:t>3. 流动性风险：</w:t>
      </w:r>
      <w:r>
        <w:rPr>
          <w:rFonts w:hint="eastAsia" w:ascii="宋体" w:hAnsi="宋体"/>
          <w:b/>
          <w:szCs w:val="20"/>
        </w:rPr>
        <w:t>流动性风险是指理财产品无法通过变现资产等途径以合理成本及时获得充足资金，用于满足该理财产品的投资者赎回需求、履行其他支付义务的风险。</w:t>
      </w:r>
    </w:p>
    <w:p>
      <w:pPr>
        <w:pStyle w:val="5"/>
        <w:tabs>
          <w:tab w:val="left" w:pos="720"/>
        </w:tabs>
        <w:spacing w:after="30"/>
        <w:ind w:left="0" w:leftChars="0" w:firstLine="402"/>
        <w:rPr>
          <w:rFonts w:hint="eastAsia" w:ascii="宋体" w:hAnsi="宋体"/>
          <w:b/>
          <w:szCs w:val="20"/>
        </w:rPr>
      </w:pPr>
      <w:r>
        <w:rPr>
          <w:rFonts w:hint="eastAsia" w:ascii="宋体" w:hAnsi="宋体"/>
          <w:b/>
          <w:szCs w:val="20"/>
        </w:rPr>
        <w:t>（</w:t>
      </w:r>
      <w:r>
        <w:rPr>
          <w:rFonts w:ascii="宋体" w:hAnsi="宋体"/>
          <w:b/>
          <w:szCs w:val="20"/>
        </w:rPr>
        <w:t>1）产品申购、赎回安排</w:t>
      </w:r>
    </w:p>
    <w:p>
      <w:pPr>
        <w:pStyle w:val="5"/>
        <w:tabs>
          <w:tab w:val="left" w:pos="720"/>
        </w:tabs>
        <w:spacing w:after="0"/>
        <w:ind w:left="0" w:leftChars="0" w:firstLine="402"/>
        <w:rPr>
          <w:rFonts w:hint="eastAsia" w:ascii="宋体" w:hAnsi="宋体"/>
          <w:b/>
          <w:szCs w:val="20"/>
        </w:rPr>
      </w:pPr>
      <w:r>
        <w:rPr>
          <w:rFonts w:ascii="宋体" w:hAnsi="宋体"/>
          <w:b/>
          <w:szCs w:val="20"/>
        </w:rPr>
        <w:t>产品成立后，</w:t>
      </w:r>
      <w:r>
        <w:rPr>
          <w:rFonts w:hint="eastAsia" w:ascii="宋体" w:hAnsi="宋体"/>
          <w:b/>
          <w:szCs w:val="20"/>
        </w:rPr>
        <w:t>投资者仅能在开放日的赎回开放时间段内提出赎回申请，可能导致投资者需要资金时不能随时变现，并可能使投资者丧失其他投资机会的风险。因系统原因，理财产品可能出现不能提出申购申请、赎回申请的情况，可能导致投资者不能按需购买理财产品，或需要资金时不能按需变现，并可能产生投资者丧失投资机会的风险。</w:t>
      </w:r>
    </w:p>
    <w:p>
      <w:pPr>
        <w:pStyle w:val="5"/>
        <w:tabs>
          <w:tab w:val="left" w:pos="720"/>
        </w:tabs>
        <w:spacing w:after="0"/>
        <w:ind w:left="0" w:leftChars="0" w:firstLine="402"/>
        <w:rPr>
          <w:rFonts w:hint="eastAsia" w:ascii="宋体" w:hAnsi="宋体"/>
          <w:b/>
          <w:szCs w:val="20"/>
        </w:rPr>
      </w:pPr>
      <w:r>
        <w:rPr>
          <w:rFonts w:hint="eastAsia" w:ascii="宋体" w:hAnsi="宋体"/>
          <w:b/>
          <w:szCs w:val="20"/>
        </w:rPr>
        <w:t>本产品的申购、赎回安排详见产品说明书“三、产品运作说明”中“（四）产品申购”、“（五）产品赎回”的相关规定。</w:t>
      </w:r>
    </w:p>
    <w:p>
      <w:pPr>
        <w:pStyle w:val="5"/>
        <w:tabs>
          <w:tab w:val="left" w:pos="720"/>
        </w:tabs>
        <w:spacing w:after="0"/>
        <w:ind w:left="0" w:leftChars="0" w:firstLine="402"/>
        <w:rPr>
          <w:rFonts w:hint="eastAsia" w:ascii="宋体" w:hAnsi="宋体"/>
          <w:b/>
          <w:szCs w:val="20"/>
        </w:rPr>
      </w:pPr>
      <w:r>
        <w:rPr>
          <w:rFonts w:hint="eastAsia" w:ascii="宋体" w:hAnsi="宋体"/>
          <w:b/>
          <w:szCs w:val="20"/>
        </w:rPr>
        <w:t>（</w:t>
      </w:r>
      <w:r>
        <w:rPr>
          <w:rFonts w:ascii="宋体" w:hAnsi="宋体"/>
          <w:b/>
          <w:szCs w:val="20"/>
        </w:rPr>
        <w:t>2）拟投资市场、资产的流动性风险评估</w:t>
      </w:r>
    </w:p>
    <w:p>
      <w:pPr>
        <w:ind w:firstLine="402"/>
        <w:rPr>
          <w:rFonts w:hint="eastAsia" w:ascii="宋体" w:hAnsi="宋体"/>
          <w:b/>
          <w:szCs w:val="20"/>
        </w:rPr>
      </w:pPr>
      <w:r>
        <w:rPr>
          <w:rFonts w:hint="eastAsia" w:ascii="宋体" w:hAnsi="宋体"/>
          <w:b/>
          <w:szCs w:val="20"/>
        </w:rPr>
        <w:t>本产品为固定收益类</w:t>
      </w:r>
      <w:r>
        <w:rPr>
          <w:rFonts w:ascii="宋体" w:hAnsi="宋体"/>
          <w:b/>
          <w:szCs w:val="20"/>
        </w:rPr>
        <w:t>产品，可投资的资产包括</w:t>
      </w:r>
      <w:r>
        <w:rPr>
          <w:rFonts w:hint="eastAsia" w:ascii="宋体" w:hAnsi="宋体"/>
          <w:b/>
          <w:szCs w:val="20"/>
        </w:rPr>
        <w:t>现金类资产、货币市场工具、货币市场基金、标准化固定收益类资产等。</w:t>
      </w:r>
    </w:p>
    <w:p>
      <w:pPr>
        <w:ind w:firstLine="402"/>
        <w:rPr>
          <w:rFonts w:hint="eastAsia" w:ascii="宋体" w:hAnsi="宋体"/>
          <w:b/>
          <w:szCs w:val="20"/>
        </w:rPr>
      </w:pPr>
      <w:r>
        <w:rPr>
          <w:rFonts w:hint="eastAsia" w:ascii="宋体" w:hAnsi="宋体"/>
          <w:b/>
          <w:szCs w:val="20"/>
        </w:rPr>
        <w:t>本产品直接投资于流动性受限资产的市值在开放日不得超过本产品资产净值的15%。本产品持有不低于本产品资产净值</w:t>
      </w:r>
      <w:r>
        <w:rPr>
          <w:rFonts w:ascii="宋体" w:hAnsi="宋体"/>
          <w:b/>
          <w:szCs w:val="20"/>
        </w:rPr>
        <w:t>5%的现金或者到期日在一年以内的国债、中央银行票据和政策性金融债券。</w:t>
      </w:r>
      <w:r>
        <w:rPr>
          <w:rFonts w:hint="eastAsia" w:ascii="宋体" w:hAnsi="宋体"/>
          <w:b/>
          <w:szCs w:val="20"/>
        </w:rPr>
        <w:t>本产品在开放日前一工作日内，7个工作日可变现资产的可变现价值应当不低于该产品资产净值的10%。</w:t>
      </w:r>
    </w:p>
    <w:p>
      <w:pPr>
        <w:ind w:firstLine="402"/>
        <w:rPr>
          <w:rFonts w:hint="eastAsia" w:ascii="宋体" w:hAnsi="宋体"/>
          <w:b/>
          <w:szCs w:val="20"/>
        </w:rPr>
      </w:pPr>
      <w:r>
        <w:rPr>
          <w:rFonts w:hint="eastAsia" w:ascii="宋体" w:hAnsi="宋体"/>
          <w:b/>
          <w:szCs w:val="20"/>
        </w:rPr>
        <w:t>本风险揭示书和说明书中所称流动性受限资产，是指由于法律法规、监管、合同或操作障碍等原因无法以合理价格予以变现的资产，包括到期日在</w:t>
      </w:r>
      <w:r>
        <w:rPr>
          <w:rFonts w:ascii="宋体" w:hAnsi="宋体"/>
          <w:b/>
          <w:szCs w:val="20"/>
        </w:rPr>
        <w:t>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r>
        <w:rPr>
          <w:rFonts w:hint="eastAsia" w:ascii="宋体" w:hAnsi="宋体"/>
          <w:b/>
          <w:szCs w:val="20"/>
        </w:rPr>
        <w:t>本风险揭示书和说明书中所称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pStyle w:val="5"/>
        <w:tabs>
          <w:tab w:val="left" w:pos="720"/>
        </w:tabs>
        <w:spacing w:after="0"/>
        <w:ind w:left="0" w:leftChars="0" w:firstLine="402"/>
        <w:rPr>
          <w:rFonts w:hint="eastAsia" w:ascii="宋体" w:hAnsi="宋体"/>
          <w:b/>
          <w:szCs w:val="20"/>
        </w:rPr>
      </w:pPr>
      <w:r>
        <w:rPr>
          <w:rFonts w:hint="eastAsia" w:ascii="宋体" w:hAnsi="宋体"/>
          <w:b/>
          <w:szCs w:val="20"/>
        </w:rPr>
        <w:t>若本产品投资的基础资产成交少，流动性低，或对于非公开发行债券等流动和</w:t>
      </w:r>
      <w:r>
        <w:rPr>
          <w:rFonts w:ascii="宋体" w:hAnsi="宋体"/>
          <w:b/>
          <w:szCs w:val="20"/>
        </w:rPr>
        <w:t>/或转让存在一定的限制的资产，即使在市场流动性比较好的情况下，个别资产的流动性可能较差，均可能造成无法以合理价格买入或卖出的情形，并因此</w:t>
      </w:r>
      <w:r>
        <w:rPr>
          <w:rFonts w:hint="eastAsia" w:ascii="宋体" w:hAnsi="宋体"/>
          <w:b/>
          <w:szCs w:val="20"/>
        </w:rPr>
        <w:t>影响投资者</w:t>
      </w:r>
      <w:r>
        <w:rPr>
          <w:rFonts w:ascii="宋体" w:hAnsi="宋体"/>
          <w:b/>
          <w:szCs w:val="20"/>
        </w:rPr>
        <w:t>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after="93" w:afterLines="30"/>
        <w:ind w:firstLine="402"/>
        <w:rPr>
          <w:rFonts w:hint="eastAsia" w:ascii="宋体" w:hAnsi="宋体"/>
          <w:b/>
        </w:rPr>
      </w:pPr>
      <w:r>
        <w:rPr>
          <w:rFonts w:hint="eastAsia" w:ascii="宋体" w:hAnsi="宋体"/>
          <w:b/>
        </w:rPr>
        <w:t>（</w:t>
      </w:r>
      <w:r>
        <w:rPr>
          <w:rFonts w:ascii="宋体" w:hAnsi="宋体"/>
          <w:b/>
        </w:rPr>
        <w:t>3）</w:t>
      </w:r>
      <w:r>
        <w:rPr>
          <w:rFonts w:hint="eastAsia" w:ascii="宋体" w:hAnsi="宋体"/>
          <w:b/>
        </w:rPr>
        <w:t>实施流动性风险应对措施的情形、程序及对投资者的潜在影响</w:t>
      </w:r>
    </w:p>
    <w:p>
      <w:pPr>
        <w:ind w:firstLine="402"/>
        <w:rPr>
          <w:rFonts w:hint="eastAsia" w:ascii="宋体" w:hAnsi="宋体"/>
          <w:b/>
        </w:rPr>
      </w:pPr>
      <w:r>
        <w:rPr>
          <w:rFonts w:hint="eastAsia" w:ascii="宋体" w:hAnsi="宋体"/>
          <w:b/>
        </w:rPr>
        <w:t>在确保投资者得到公平对待的前提下，产品管理人可依照法律法规及产品说明书的约定，综合使用各类流动性风险应对措施，包括但不限于：</w:t>
      </w:r>
    </w:p>
    <w:p>
      <w:pPr>
        <w:ind w:firstLine="402"/>
        <w:rPr>
          <w:rFonts w:hint="eastAsia" w:ascii="宋体" w:hAnsi="宋体" w:cs="宋体"/>
          <w:b/>
        </w:rPr>
      </w:pPr>
      <w:r>
        <w:rPr>
          <w:rFonts w:hint="eastAsia" w:ascii="宋体" w:hAnsi="宋体" w:cs="宋体"/>
          <w:b/>
        </w:rPr>
        <w:t>1）</w:t>
      </w:r>
      <w:r>
        <w:rPr>
          <w:rFonts w:hint="eastAsia" w:ascii="宋体" w:hAnsi="宋体" w:cs="宋体"/>
          <w:b/>
        </w:rPr>
        <w:tab/>
      </w:r>
      <w:r>
        <w:rPr>
          <w:rFonts w:hint="eastAsia" w:ascii="宋体" w:hAnsi="宋体" w:cs="宋体"/>
          <w:b/>
        </w:rPr>
        <w:t>申购风险应对措施</w:t>
      </w:r>
    </w:p>
    <w:p>
      <w:pPr>
        <w:ind w:firstLine="402" w:firstLineChars="200"/>
        <w:rPr>
          <w:rFonts w:hint="eastAsia" w:ascii="宋体" w:hAnsi="宋体"/>
          <w:b/>
          <w:sz w:val="20"/>
        </w:rPr>
      </w:pPr>
      <w:r>
        <w:rPr>
          <w:rFonts w:hint="eastAsia" w:ascii="宋体" w:hAnsi="宋体"/>
          <w:b/>
          <w:sz w:val="20"/>
        </w:rPr>
        <w:t>投资者具体请参见产品说明书“三、产品运作说明”中“（二）产品认购”、“（四）产品申购”的相关规定，详细了解本产品触发认购/申购风险应对措施的情形及程序。</w:t>
      </w:r>
    </w:p>
    <w:p>
      <w:pPr>
        <w:ind w:firstLine="402" w:firstLineChars="200"/>
        <w:rPr>
          <w:rFonts w:hint="eastAsia" w:ascii="宋体" w:hAnsi="宋体"/>
          <w:b/>
          <w:sz w:val="20"/>
        </w:rPr>
      </w:pPr>
      <w:r>
        <w:rPr>
          <w:rFonts w:hint="eastAsia" w:ascii="宋体" w:hAnsi="宋体"/>
          <w:b/>
          <w:sz w:val="20"/>
        </w:rPr>
        <w:t>在此情形下，投资者的部分或全部认购/申购申请可能被拒绝，投资者本金无法参与本产品的投资运作。</w:t>
      </w:r>
    </w:p>
    <w:p>
      <w:pPr>
        <w:ind w:firstLine="402"/>
        <w:rPr>
          <w:rFonts w:hint="eastAsia" w:ascii="宋体" w:hAnsi="宋体" w:cs="宋体"/>
          <w:b/>
        </w:rPr>
      </w:pPr>
      <w:r>
        <w:rPr>
          <w:rFonts w:hint="eastAsia" w:ascii="宋体" w:hAnsi="宋体" w:cs="宋体"/>
          <w:b/>
        </w:rPr>
        <w:t>2）</w:t>
      </w:r>
      <w:r>
        <w:rPr>
          <w:rFonts w:hint="eastAsia" w:ascii="宋体" w:hAnsi="宋体" w:cs="宋体"/>
          <w:b/>
        </w:rPr>
        <w:tab/>
      </w:r>
      <w:r>
        <w:rPr>
          <w:rFonts w:hint="eastAsia" w:ascii="宋体" w:hAnsi="宋体" w:cs="宋体"/>
          <w:b/>
        </w:rPr>
        <w:t>赎回风险应对措施</w:t>
      </w:r>
    </w:p>
    <w:p>
      <w:pPr>
        <w:ind w:firstLine="402"/>
        <w:rPr>
          <w:rFonts w:hint="eastAsia" w:ascii="宋体" w:hAnsi="宋体"/>
          <w:b/>
        </w:rPr>
      </w:pPr>
      <w:r>
        <w:rPr>
          <w:rFonts w:hint="eastAsia" w:ascii="宋体" w:hAnsi="宋体" w:cs="宋体"/>
          <w:b/>
        </w:rPr>
        <w:t>①</w:t>
      </w:r>
      <w:r>
        <w:rPr>
          <w:rFonts w:hint="eastAsia" w:ascii="宋体" w:hAnsi="宋体"/>
          <w:b/>
        </w:rPr>
        <w:t>巨额赎回限制</w:t>
      </w:r>
    </w:p>
    <w:p>
      <w:pPr>
        <w:ind w:firstLine="402"/>
        <w:rPr>
          <w:rFonts w:hint="eastAsia" w:ascii="宋体" w:hAnsi="宋体"/>
          <w:b/>
        </w:rPr>
      </w:pPr>
      <w:r>
        <w:rPr>
          <w:rFonts w:hint="eastAsia" w:ascii="宋体" w:hAnsi="宋体"/>
          <w:b/>
        </w:rPr>
        <w:t>投资者具体请参见产品说明书“三、产品运作说明”中“（五）产品赎回”的相关规定，详细了解本产品触发巨额赎回的情形及程序。</w:t>
      </w:r>
    </w:p>
    <w:p>
      <w:pPr>
        <w:ind w:firstLine="402"/>
        <w:rPr>
          <w:rFonts w:hint="eastAsia" w:ascii="宋体" w:hAnsi="宋体"/>
          <w:b/>
        </w:rPr>
      </w:pPr>
      <w:r>
        <w:rPr>
          <w:rFonts w:hint="eastAsia" w:ascii="宋体" w:hAnsi="宋体"/>
          <w:b/>
        </w:rPr>
        <w:t>在此情形下，投资者的部分或全部赎回申请可能被拒绝。产品连续2个以上开放日发生巨额赎回的，投资者的部分或全部赎回申请可能被拒绝，对于已经接受的赎回申请，投资者接收赎回款项的时间将可能比一般正常情形下有所延迟。</w:t>
      </w:r>
    </w:p>
    <w:p>
      <w:pPr>
        <w:ind w:firstLine="402"/>
        <w:rPr>
          <w:rFonts w:hint="eastAsia" w:ascii="宋体" w:hAnsi="宋体"/>
          <w:b/>
        </w:rPr>
      </w:pPr>
      <w:r>
        <w:rPr>
          <w:rFonts w:hint="eastAsia" w:ascii="宋体" w:hAnsi="宋体" w:cs="宋体"/>
          <w:b/>
        </w:rPr>
        <w:t>②</w:t>
      </w:r>
      <w:r>
        <w:rPr>
          <w:rFonts w:hint="eastAsia" w:ascii="宋体" w:hAnsi="宋体"/>
          <w:b/>
        </w:rPr>
        <w:t>拒绝或暂停赎回申请</w:t>
      </w:r>
    </w:p>
    <w:p>
      <w:pPr>
        <w:ind w:firstLine="402"/>
        <w:rPr>
          <w:rFonts w:hint="eastAsia" w:ascii="宋体" w:hAnsi="宋体"/>
          <w:b/>
        </w:rPr>
      </w:pPr>
      <w:r>
        <w:rPr>
          <w:rFonts w:hint="eastAsia" w:ascii="宋体" w:hAnsi="宋体"/>
          <w:b/>
        </w:rPr>
        <w:t>投资者具体请参见产品说明书“三、产品运作说明”中“（五）产品赎回”的相关规定，详细了解本产品拒绝或暂停赎回申请的情形及程序。</w:t>
      </w:r>
    </w:p>
    <w:p>
      <w:pPr>
        <w:ind w:firstLine="402"/>
        <w:rPr>
          <w:rFonts w:hint="eastAsia" w:ascii="宋体" w:hAnsi="宋体"/>
          <w:b/>
        </w:rPr>
      </w:pPr>
      <w:r>
        <w:rPr>
          <w:rFonts w:hint="eastAsia" w:ascii="宋体" w:hAnsi="宋体"/>
          <w:b/>
        </w:rPr>
        <w:t>在此情形下，投资者的部分或全部赎回申请可能被拒绝，投资者完成产品赎回时的产品份额净值可能与其提交赎回申请时的产品份额净值不同。</w:t>
      </w:r>
    </w:p>
    <w:p>
      <w:pPr>
        <w:ind w:firstLine="402"/>
        <w:rPr>
          <w:rFonts w:hint="eastAsia" w:ascii="宋体" w:hAnsi="宋体" w:cs="宋体"/>
          <w:b/>
        </w:rPr>
      </w:pPr>
      <w:r>
        <w:rPr>
          <w:rFonts w:hint="eastAsia" w:ascii="宋体" w:hAnsi="宋体" w:cs="宋体"/>
          <w:b/>
        </w:rPr>
        <w:t>③ 延缓支付赎回款项</w:t>
      </w:r>
    </w:p>
    <w:p>
      <w:pPr>
        <w:ind w:firstLine="402"/>
        <w:rPr>
          <w:rFonts w:hint="eastAsia" w:ascii="宋体" w:hAnsi="宋体"/>
          <w:b/>
        </w:rPr>
      </w:pPr>
      <w:r>
        <w:rPr>
          <w:rFonts w:hint="eastAsia" w:ascii="宋体" w:hAnsi="宋体" w:cs="宋体"/>
          <w:b/>
        </w:rPr>
        <w:t>延缓支付赎回款项包括延迟兑付和分次兑付赎回款项。</w:t>
      </w:r>
    </w:p>
    <w:p>
      <w:pPr>
        <w:ind w:firstLine="402"/>
        <w:rPr>
          <w:rFonts w:hint="eastAsia" w:ascii="宋体" w:hAnsi="宋体"/>
          <w:b/>
        </w:rPr>
      </w:pPr>
      <w:r>
        <w:rPr>
          <w:rFonts w:hint="eastAsia" w:ascii="宋体" w:hAnsi="宋体"/>
          <w:b/>
        </w:rPr>
        <w:t>投资者具体请参见产品说明书“三、产品运作说明”中“（五）产品赎回”的相关规定，详细了解本产品延迟兑付或分次兑付赎回款项的情形及程序。</w:t>
      </w:r>
    </w:p>
    <w:p>
      <w:pPr>
        <w:ind w:firstLine="402"/>
        <w:rPr>
          <w:rFonts w:hint="eastAsia" w:ascii="宋体" w:hAnsi="宋体"/>
          <w:b/>
        </w:rPr>
      </w:pPr>
      <w:r>
        <w:rPr>
          <w:rFonts w:hint="eastAsia" w:ascii="宋体" w:hAnsi="宋体"/>
          <w:b/>
        </w:rPr>
        <w:t>在延迟兑付情形下，投资者接收赎回款项的时间将可能比一般正常情形下有所延迟。</w:t>
      </w:r>
    </w:p>
    <w:p>
      <w:pPr>
        <w:ind w:firstLine="402"/>
        <w:rPr>
          <w:rFonts w:hint="eastAsia" w:ascii="宋体" w:hAnsi="宋体"/>
          <w:b/>
        </w:rPr>
      </w:pPr>
      <w:r>
        <w:rPr>
          <w:rFonts w:hint="eastAsia" w:ascii="宋体" w:hAnsi="宋体"/>
          <w:b/>
        </w:rPr>
        <w:t>在分次兑付情形下，投资者接收赎回款项的时间将可能比一般正常情形下有所延迟，且分多次接收赎回款项。</w:t>
      </w:r>
    </w:p>
    <w:p>
      <w:pPr>
        <w:ind w:firstLine="402"/>
        <w:rPr>
          <w:rFonts w:hint="eastAsia" w:ascii="宋体" w:hAnsi="宋体"/>
          <w:b/>
        </w:rPr>
      </w:pPr>
      <w:r>
        <w:rPr>
          <w:rFonts w:hint="eastAsia" w:ascii="宋体" w:hAnsi="宋体" w:cs="宋体"/>
          <w:b/>
        </w:rPr>
        <w:t>④</w:t>
      </w:r>
      <w:r>
        <w:rPr>
          <w:rFonts w:hint="eastAsia" w:ascii="宋体" w:hAnsi="宋体"/>
          <w:b/>
        </w:rPr>
        <w:t>暂停产品估值</w:t>
      </w:r>
    </w:p>
    <w:p>
      <w:pPr>
        <w:ind w:firstLine="402"/>
        <w:rPr>
          <w:rFonts w:hint="eastAsia" w:ascii="宋体" w:hAnsi="宋体"/>
          <w:b/>
        </w:rPr>
      </w:pPr>
      <w:r>
        <w:rPr>
          <w:rFonts w:hint="eastAsia" w:ascii="宋体" w:hAnsi="宋体"/>
          <w:b/>
        </w:rPr>
        <w:t>投资者具体请参见产品说明书“四、产品资产估值”中“（五）暂停估值”的相关规定，详细了解本产品暂停估值的情形及程序。</w:t>
      </w:r>
    </w:p>
    <w:p>
      <w:pPr>
        <w:ind w:firstLine="402"/>
        <w:rPr>
          <w:rFonts w:hint="eastAsia" w:ascii="宋体" w:hAnsi="宋体"/>
          <w:b/>
        </w:rPr>
      </w:pPr>
      <w:r>
        <w:rPr>
          <w:rFonts w:hint="eastAsia" w:ascii="宋体" w:hAnsi="宋体"/>
          <w:b/>
        </w:rPr>
        <w:t>在此情形下，投资者没有可供参考的产品份额净值，产品申购赎回申请或被暂停。</w:t>
      </w:r>
    </w:p>
    <w:p>
      <w:pPr>
        <w:ind w:firstLine="402"/>
        <w:rPr>
          <w:rFonts w:hint="eastAsia" w:ascii="宋体" w:hAnsi="宋体"/>
          <w:b/>
        </w:rPr>
      </w:pPr>
      <w:r>
        <w:rPr>
          <w:rFonts w:hint="eastAsia" w:ascii="宋体" w:hAnsi="宋体" w:cs="宋体"/>
          <w:b/>
        </w:rPr>
        <w:t>⑤</w:t>
      </w:r>
      <w:r>
        <w:rPr>
          <w:rFonts w:hint="eastAsia" w:ascii="宋体" w:hAnsi="宋体"/>
          <w:b/>
        </w:rPr>
        <w:t>监管认定的其他措施。</w:t>
      </w:r>
    </w:p>
    <w:p>
      <w:pPr>
        <w:pStyle w:val="5"/>
        <w:tabs>
          <w:tab w:val="left" w:pos="720"/>
        </w:tabs>
        <w:spacing w:after="30"/>
        <w:ind w:left="0" w:leftChars="0" w:firstLine="402"/>
        <w:rPr>
          <w:rFonts w:hint="eastAsia" w:ascii="宋体" w:hAnsi="宋体"/>
          <w:szCs w:val="20"/>
        </w:rPr>
      </w:pPr>
      <w:r>
        <w:rPr>
          <w:rFonts w:hint="eastAsia" w:ascii="宋体" w:hAnsi="宋体"/>
          <w:b/>
          <w:szCs w:val="20"/>
        </w:rPr>
        <w:t>投资者应该了解自身的流动性偏好，并评估是否与本产品的流动性风险匹配。</w:t>
      </w:r>
    </w:p>
    <w:p>
      <w:pPr>
        <w:pStyle w:val="5"/>
        <w:tabs>
          <w:tab w:val="left" w:pos="720"/>
        </w:tabs>
        <w:spacing w:after="30"/>
        <w:ind w:left="0" w:leftChars="0" w:firstLine="400"/>
        <w:rPr>
          <w:rFonts w:hint="eastAsia" w:ascii="宋体" w:hAnsi="宋体"/>
          <w:szCs w:val="20"/>
        </w:rPr>
      </w:pPr>
      <w:r>
        <w:rPr>
          <w:rFonts w:ascii="宋体" w:hAnsi="宋体"/>
          <w:szCs w:val="20"/>
        </w:rPr>
        <w:t>4.</w:t>
      </w:r>
      <w:r>
        <w:rPr>
          <w:rFonts w:ascii="宋体" w:hAnsi="宋体"/>
          <w:b/>
          <w:szCs w:val="20"/>
        </w:rPr>
        <w:t>市场风险</w:t>
      </w:r>
      <w:r>
        <w:rPr>
          <w:rFonts w:ascii="宋体" w:hAnsi="宋体"/>
          <w:szCs w:val="20"/>
        </w:rPr>
        <w:t>：本产品投资的基础资产价值受未来市场的不确定影响可能出现波动，</w:t>
      </w:r>
      <w:r>
        <w:rPr>
          <w:rFonts w:ascii="宋体" w:hAnsi="宋体"/>
          <w:b/>
          <w:bCs/>
          <w:szCs w:val="20"/>
        </w:rPr>
        <w:t>从而导致投资者收益波动、收益为零甚至本产品份额净值跌破面值、本金损失的情况。</w:t>
      </w:r>
    </w:p>
    <w:p>
      <w:pPr>
        <w:pStyle w:val="5"/>
        <w:tabs>
          <w:tab w:val="left" w:pos="720"/>
        </w:tabs>
        <w:spacing w:after="30"/>
        <w:ind w:left="0" w:leftChars="0" w:firstLine="400"/>
        <w:rPr>
          <w:rFonts w:hint="eastAsia" w:ascii="宋体" w:hAnsi="宋体" w:cs="黑体"/>
          <w:szCs w:val="20"/>
        </w:rPr>
      </w:pPr>
      <w:r>
        <w:rPr>
          <w:rFonts w:ascii="宋体" w:hAnsi="宋体"/>
          <w:szCs w:val="20"/>
        </w:rPr>
        <w:t>5.</w:t>
      </w:r>
      <w:r>
        <w:rPr>
          <w:rFonts w:ascii="宋体" w:hAnsi="宋体"/>
          <w:b/>
          <w:szCs w:val="20"/>
        </w:rPr>
        <w:t>管理风险</w:t>
      </w:r>
      <w:r>
        <w:rPr>
          <w:rFonts w:ascii="宋体" w:hAnsi="宋体"/>
          <w:szCs w:val="20"/>
        </w:rPr>
        <w:t>：</w:t>
      </w:r>
      <w:r>
        <w:rPr>
          <w:rFonts w:hint="eastAsia" w:ascii="宋体" w:hAnsi="宋体"/>
          <w:szCs w:val="20"/>
        </w:rPr>
        <w:t>在产品运作过程中，由于产品管理人</w:t>
      </w:r>
      <w:r>
        <w:rPr>
          <w:rFonts w:hint="eastAsia" w:ascii="宋体" w:hAnsi="宋体" w:cs="黑体"/>
          <w:szCs w:val="20"/>
        </w:rPr>
        <w:t>基础资产管理方面受经验、技能、判断力、决策力、执行力等方面的限制，可能对产品的运作及管理造成一定影响，并因此影响投资者收益，甚至使产品本金遭受损失。</w:t>
      </w:r>
    </w:p>
    <w:p>
      <w:pPr>
        <w:pStyle w:val="5"/>
        <w:tabs>
          <w:tab w:val="left" w:pos="720"/>
        </w:tabs>
        <w:spacing w:after="30"/>
        <w:ind w:left="0" w:leftChars="0" w:firstLine="400"/>
        <w:rPr>
          <w:rFonts w:hint="eastAsia" w:ascii="宋体" w:hAnsi="宋体"/>
          <w:szCs w:val="20"/>
        </w:rPr>
      </w:pPr>
      <w:r>
        <w:rPr>
          <w:rFonts w:ascii="宋体" w:hAnsi="宋体"/>
          <w:szCs w:val="20"/>
        </w:rPr>
        <w:t>6.</w:t>
      </w:r>
      <w:r>
        <w:rPr>
          <w:rFonts w:ascii="宋体" w:hAnsi="宋体"/>
          <w:b/>
          <w:szCs w:val="20"/>
        </w:rPr>
        <w:t>利率、汇率及通货膨胀风险</w:t>
      </w:r>
      <w:r>
        <w:rPr>
          <w:rFonts w:ascii="宋体" w:hAnsi="宋体"/>
          <w:szCs w:val="20"/>
        </w:rPr>
        <w:t>：在本产品存续期限内，金融市场利率、汇率波动会导致</w:t>
      </w:r>
      <w:r>
        <w:rPr>
          <w:rFonts w:hint="eastAsia" w:ascii="宋体" w:hAnsi="宋体"/>
          <w:szCs w:val="20"/>
        </w:rPr>
        <w:t>投资标的</w:t>
      </w:r>
      <w:r>
        <w:rPr>
          <w:rFonts w:ascii="宋体" w:hAnsi="宋体"/>
          <w:szCs w:val="20"/>
        </w:rPr>
        <w:t>的价格和收益率变动，影响企业的融资成本和利润。对于债券等资产，其收益水平会受到利率、汇率变化的影响，导致公允价值会有波动，从而导致本产品份额净值</w:t>
      </w:r>
      <w:r>
        <w:rPr>
          <w:rFonts w:hint="eastAsia" w:ascii="宋体" w:hAnsi="宋体"/>
          <w:szCs w:val="20"/>
        </w:rPr>
        <w:t>较低</w:t>
      </w:r>
      <w:r>
        <w:rPr>
          <w:rFonts w:ascii="宋体" w:hAnsi="宋体"/>
          <w:szCs w:val="20"/>
        </w:rPr>
        <w:t>，甚至跌破面值、本金损失。同时，本产品存在实际收益率可能低于通货膨胀率，从而导致投资者实际收益为负的风险。</w:t>
      </w:r>
    </w:p>
    <w:p>
      <w:pPr>
        <w:pStyle w:val="5"/>
        <w:tabs>
          <w:tab w:val="left" w:pos="720"/>
        </w:tabs>
        <w:spacing w:after="30"/>
        <w:ind w:left="0" w:leftChars="0" w:firstLine="400"/>
        <w:rPr>
          <w:rFonts w:hint="eastAsia" w:ascii="宋体" w:hAnsi="宋体"/>
          <w:szCs w:val="20"/>
        </w:rPr>
      </w:pPr>
      <w:r>
        <w:rPr>
          <w:rFonts w:hint="eastAsia" w:ascii="宋体" w:hAnsi="宋体"/>
          <w:szCs w:val="20"/>
        </w:rPr>
        <w:t>7.</w:t>
      </w:r>
      <w:r>
        <w:rPr>
          <w:rFonts w:hint="eastAsia" w:ascii="宋体" w:hAnsi="宋体"/>
          <w:b/>
          <w:szCs w:val="20"/>
        </w:rPr>
        <w:t>担保安排风险</w:t>
      </w:r>
      <w:r>
        <w:rPr>
          <w:rFonts w:hint="eastAsia" w:ascii="宋体" w:hAnsi="宋体"/>
          <w:szCs w:val="20"/>
        </w:rPr>
        <w:t>：如本产品所投资的基础资产存在担保安排的，若由于政府机构登记系统等原因导致担保登记手续等无法办理或存在瑕疵，或由于市场原因、担保人原因或政府机构、法院执行等原因导致担保财产价值下降或被冻结，或者担保财产上存在权利限制、担保人发生没有及时办理担保登记手续等违反约定情况使得担保财产受到不利影响，或者担保财产在变现时存在无法变现、变现存在困难或变现金额低于担保财产价值等，可能影响投资者收益，甚至使产品本金遭受损失。如本产品所投资的基础资产存在保证担保安排的，若由于保证人因任何原因未履行保证义务的，可能影响投资者收益，甚至使产品本金遭受损失。</w:t>
      </w:r>
    </w:p>
    <w:p>
      <w:pPr>
        <w:pStyle w:val="5"/>
        <w:tabs>
          <w:tab w:val="left" w:pos="720"/>
        </w:tabs>
        <w:spacing w:after="30"/>
        <w:ind w:left="0" w:leftChars="0" w:firstLine="400"/>
        <w:rPr>
          <w:rFonts w:hint="eastAsia" w:ascii="宋体" w:hAnsi="宋体"/>
          <w:szCs w:val="20"/>
        </w:rPr>
      </w:pPr>
      <w:r>
        <w:rPr>
          <w:rFonts w:hint="eastAsia" w:ascii="宋体" w:hAnsi="宋体"/>
          <w:szCs w:val="20"/>
        </w:rPr>
        <w:t>8.</w:t>
      </w:r>
      <w:r>
        <w:rPr>
          <w:rFonts w:hint="eastAsia" w:ascii="宋体" w:hAnsi="宋体"/>
          <w:b/>
          <w:szCs w:val="20"/>
        </w:rPr>
        <w:t>投资特定标的可能引起的其他特殊风险：</w:t>
      </w:r>
      <w:r>
        <w:rPr>
          <w:rFonts w:hint="eastAsia" w:ascii="宋体" w:hAnsi="宋体"/>
          <w:szCs w:val="20"/>
        </w:rPr>
        <w:t>除上述政策风险，信用风险，流动性风险，市场风险，管理风险，利率、汇率及通货膨胀风险，担保安排风险等风险外，本产品投资特定标的可能引起其他特殊风险如下：</w:t>
      </w:r>
    </w:p>
    <w:p>
      <w:pPr>
        <w:pStyle w:val="5"/>
        <w:tabs>
          <w:tab w:val="left" w:pos="720"/>
        </w:tabs>
        <w:spacing w:after="30"/>
        <w:ind w:left="0" w:leftChars="0" w:firstLine="400"/>
        <w:rPr>
          <w:rFonts w:hint="eastAsia" w:ascii="宋体" w:hAnsi="宋体"/>
          <w:szCs w:val="20"/>
        </w:rPr>
      </w:pPr>
      <w:r>
        <w:rPr>
          <w:rFonts w:hint="eastAsia" w:ascii="宋体" w:hAnsi="宋体"/>
          <w:szCs w:val="20"/>
        </w:rPr>
        <w:t>（1）</w:t>
      </w:r>
      <w:r>
        <w:rPr>
          <w:rFonts w:hint="eastAsia" w:ascii="宋体" w:hAnsi="宋体"/>
          <w:b/>
          <w:szCs w:val="20"/>
        </w:rPr>
        <w:t>债券投资风险（如有）</w:t>
      </w:r>
      <w:r>
        <w:rPr>
          <w:rFonts w:hint="eastAsia" w:ascii="宋体" w:hAnsi="宋体"/>
          <w:szCs w:val="20"/>
        </w:rPr>
        <w:t>：债券市场不同期限、不同风险等级、不同种类债券之间的利差变动，可能导致债券价格下跌。若利用回购进行债券投资的放大操作，可能产生放大投资损失的风险。所投资债券的发行人如出现违约、无法支付到期本息，或由于债券发行人信用等级降低导致债券价格下降等，可能影响投资者收益，甚至使产品本金遭受损失。</w:t>
      </w:r>
    </w:p>
    <w:p>
      <w:pPr>
        <w:pStyle w:val="5"/>
        <w:tabs>
          <w:tab w:val="left" w:pos="720"/>
        </w:tabs>
        <w:spacing w:after="30"/>
        <w:ind w:left="0" w:leftChars="0" w:firstLine="400"/>
        <w:rPr>
          <w:rFonts w:hint="eastAsia" w:ascii="宋体" w:hAnsi="宋体"/>
          <w:szCs w:val="20"/>
        </w:rPr>
      </w:pPr>
      <w:r>
        <w:rPr>
          <w:rFonts w:hint="eastAsia" w:ascii="宋体" w:hAnsi="宋体"/>
          <w:szCs w:val="20"/>
        </w:rPr>
        <w:t>（2）</w:t>
      </w:r>
      <w:r>
        <w:rPr>
          <w:rFonts w:hint="eastAsia" w:ascii="宋体" w:hAnsi="宋体"/>
          <w:b/>
          <w:szCs w:val="20"/>
        </w:rPr>
        <w:t>资产支持证券</w:t>
      </w:r>
      <w:r>
        <w:rPr>
          <w:rFonts w:ascii="宋体" w:hAnsi="宋体"/>
          <w:b/>
          <w:szCs w:val="20"/>
        </w:rPr>
        <w:t>/资产支持票据投资风险（如有）</w:t>
      </w:r>
      <w:r>
        <w:rPr>
          <w:rFonts w:hint="eastAsia" w:ascii="宋体" w:hAnsi="宋体"/>
          <w:szCs w:val="20"/>
        </w:rPr>
        <w:t>：若资产支持证券或资产支持票据项下的基础资产发生原始权益人破产或基础资产项下现金流未能及时完整取得等情况，可能因此影响投资者收益，甚至使本产品遭受损失。</w:t>
      </w:r>
    </w:p>
    <w:p>
      <w:pPr>
        <w:pStyle w:val="5"/>
        <w:tabs>
          <w:tab w:val="left" w:pos="720"/>
        </w:tabs>
        <w:spacing w:after="30"/>
        <w:ind w:left="0" w:leftChars="0" w:firstLine="400"/>
        <w:rPr>
          <w:rFonts w:hint="eastAsia" w:ascii="宋体" w:hAnsi="宋体"/>
          <w:szCs w:val="20"/>
        </w:rPr>
      </w:pPr>
      <w:r>
        <w:rPr>
          <w:rFonts w:hint="eastAsia" w:ascii="宋体" w:hAnsi="宋体"/>
          <w:szCs w:val="20"/>
        </w:rPr>
        <w:t>（3）</w:t>
      </w:r>
      <w:r>
        <w:rPr>
          <w:rFonts w:hint="eastAsia" w:ascii="宋体" w:hAnsi="宋体"/>
          <w:b/>
          <w:szCs w:val="20"/>
        </w:rPr>
        <w:t>可转换债券、可交换债券投资风险（如有）</w:t>
      </w:r>
      <w:r>
        <w:rPr>
          <w:rFonts w:hint="eastAsia" w:ascii="宋体" w:hAnsi="宋体"/>
          <w:szCs w:val="20"/>
        </w:rPr>
        <w:t>：可转换债券或可交换债券收益与对应标的股票股价直接挂钩，可能受对应标的股票价格波动的影响；转股期内，对应标的股票价格可能低于转股价格，若选择转股，本产品将承受标的股票价格低于转股价格之间的价差；转股价格向下修正条款触发时，存在发行方公司决策层未同意修正转股价格的风险；可能启用赎回条款，使债券提前兑付或转股期缩短；存在因政策限制导致无法转股的风险；可转换债券或可交换债券投资受到包括但不限于上述因素影响时，可能影响投资者收益，甚至使本产品遭受损失。</w:t>
      </w:r>
    </w:p>
    <w:p>
      <w:pPr>
        <w:pStyle w:val="5"/>
        <w:tabs>
          <w:tab w:val="left" w:pos="720"/>
        </w:tabs>
        <w:spacing w:after="30"/>
        <w:ind w:left="0" w:leftChars="0" w:firstLine="400"/>
        <w:rPr>
          <w:rFonts w:hint="eastAsia" w:ascii="宋体" w:hAnsi="宋体"/>
          <w:szCs w:val="20"/>
        </w:rPr>
      </w:pPr>
      <w:r>
        <w:rPr>
          <w:rFonts w:hint="eastAsia" w:ascii="宋体" w:hAnsi="宋体"/>
          <w:szCs w:val="20"/>
        </w:rPr>
        <w:t>（4）</w:t>
      </w:r>
      <w:r>
        <w:rPr>
          <w:rFonts w:hint="eastAsia" w:ascii="宋体" w:hAnsi="宋体"/>
          <w:b/>
          <w:szCs w:val="20"/>
        </w:rPr>
        <w:t>股票投资风险（如有）</w:t>
      </w:r>
      <w:r>
        <w:rPr>
          <w:rFonts w:hint="eastAsia" w:ascii="宋体" w:hAnsi="宋体"/>
          <w:szCs w:val="20"/>
        </w:rPr>
        <w:t>：上市公司的经营状况受多种因素影响，如市场、技术、竞争、管理、财务等都可能导致公司盈利发生变化，从而导致股票价格下跌，影响投资者收益，甚至使本产品遭受损失。若投资科创板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投资者收益，甚至使本产品遭受损失。</w:t>
      </w:r>
    </w:p>
    <w:p>
      <w:pPr>
        <w:pStyle w:val="5"/>
        <w:tabs>
          <w:tab w:val="left" w:pos="720"/>
        </w:tabs>
        <w:spacing w:after="30"/>
        <w:ind w:left="0" w:leftChars="0" w:firstLine="400"/>
        <w:rPr>
          <w:rFonts w:hint="eastAsia" w:ascii="宋体" w:hAnsi="宋体"/>
          <w:szCs w:val="20"/>
        </w:rPr>
      </w:pPr>
      <w:r>
        <w:rPr>
          <w:rFonts w:hint="eastAsia" w:ascii="宋体" w:hAnsi="宋体"/>
          <w:szCs w:val="20"/>
        </w:rPr>
        <w:t>（5）</w:t>
      </w:r>
      <w:r>
        <w:rPr>
          <w:rFonts w:hint="eastAsia" w:ascii="宋体" w:hAnsi="宋体"/>
          <w:b/>
          <w:szCs w:val="20"/>
        </w:rPr>
        <w:t>商品及金融衍生品投资风险（如有）</w:t>
      </w:r>
      <w:r>
        <w:rPr>
          <w:rFonts w:hint="eastAsia" w:ascii="宋体" w:hAnsi="宋体"/>
          <w:szCs w:val="20"/>
        </w:rPr>
        <w:t>：商品及金融衍生品投资可能实行保证金交易制度，具有高杠杆性，高杠杆效应放大了价格波动风险，当出现不利行情时，标的资产价格微小的变动就可能会使本产品遭受较大损失；基差是指现货价格与期货价格之间的差额，若本产品运作中出现基差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商品及金融衍生品投资受到包括但不限于上述因素影响时，可能影响投资者收益，甚至使本产品遭受损失。</w:t>
      </w:r>
    </w:p>
    <w:p>
      <w:pPr>
        <w:pStyle w:val="5"/>
        <w:tabs>
          <w:tab w:val="left" w:pos="720"/>
        </w:tabs>
        <w:spacing w:after="30"/>
        <w:ind w:left="0" w:leftChars="0" w:firstLine="400"/>
        <w:rPr>
          <w:rFonts w:hint="eastAsia" w:ascii="宋体" w:hAnsi="宋体"/>
          <w:szCs w:val="20"/>
        </w:rPr>
      </w:pPr>
      <w:r>
        <w:rPr>
          <w:rFonts w:hint="eastAsia" w:ascii="宋体" w:hAnsi="宋体"/>
          <w:szCs w:val="20"/>
        </w:rPr>
        <w:t>（6）</w:t>
      </w:r>
      <w:r>
        <w:rPr>
          <w:rFonts w:hint="eastAsia" w:ascii="宋体" w:hAnsi="宋体"/>
          <w:b/>
          <w:szCs w:val="20"/>
        </w:rPr>
        <w:t>非标准化债权类资产投资风险（如有）</w:t>
      </w:r>
      <w:r>
        <w:rPr>
          <w:rFonts w:hint="eastAsia" w:ascii="宋体" w:hAnsi="宋体"/>
          <w:szCs w:val="20"/>
        </w:rPr>
        <w:t>：由于还款履约能力发生变化等原因，融资方/义务人可能无法偿还或逾期偿还相关融资本金利息，或无法履行相关合同约定的其他义务，或者因融资方/义务人按照相关合同的约定申请提前/立即偿还款项或者融资方/义务人发生相关合同约定的违约情形，或者由于市场原因、政府机构等原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pPr>
        <w:pStyle w:val="5"/>
        <w:tabs>
          <w:tab w:val="left" w:pos="720"/>
        </w:tabs>
        <w:spacing w:after="30"/>
        <w:ind w:left="0" w:leftChars="0" w:firstLine="400"/>
        <w:rPr>
          <w:rFonts w:hint="eastAsia" w:ascii="宋体" w:hAnsi="宋体"/>
          <w:szCs w:val="20"/>
        </w:rPr>
      </w:pPr>
      <w:r>
        <w:rPr>
          <w:rFonts w:hint="eastAsia" w:ascii="宋体" w:hAnsi="宋体"/>
          <w:szCs w:val="20"/>
        </w:rPr>
        <w:t>（7）</w:t>
      </w:r>
      <w:r>
        <w:rPr>
          <w:rFonts w:hint="eastAsia" w:ascii="宋体" w:hAnsi="宋体"/>
          <w:b/>
          <w:szCs w:val="20"/>
        </w:rPr>
        <w:t>公募基金、资产管理计划、信托计划、信托受益权等资产投资风险（如有）</w:t>
      </w:r>
      <w:r>
        <w:rPr>
          <w:rFonts w:hint="eastAsia" w:ascii="宋体" w:hAnsi="宋体"/>
          <w:szCs w:val="20"/>
        </w:rPr>
        <w:t>：若本产品投资公募基金、资产管理计划、信托计划、信托受益权等时，可能因为公募基金、资产管理计划、信托计划、信托受益权等的管理人或受托人违法违规、未尽管理人或受托人职责或发生其他情形，或公募基金、资产管理计划、信托计划、信托受益权等出现因为特定原因而被提前终止的情况，可能造成本产品所投资的公募基金、资产管理计划、信托计划、信托受益权等的财产损失，从而影响投资者收益，甚至使本产品遭受损失。</w:t>
      </w:r>
    </w:p>
    <w:p>
      <w:pPr>
        <w:pStyle w:val="5"/>
        <w:tabs>
          <w:tab w:val="left" w:pos="720"/>
        </w:tabs>
        <w:spacing w:after="30"/>
        <w:ind w:left="0" w:leftChars="0" w:firstLine="400"/>
        <w:rPr>
          <w:rFonts w:hint="eastAsia" w:ascii="宋体" w:hAnsi="宋体"/>
          <w:szCs w:val="20"/>
        </w:rPr>
      </w:pPr>
      <w:r>
        <w:rPr>
          <w:rFonts w:hint="eastAsia" w:ascii="宋体" w:hAnsi="宋体"/>
          <w:szCs w:val="20"/>
        </w:rPr>
        <w:t>9</w:t>
      </w:r>
      <w:r>
        <w:rPr>
          <w:rFonts w:ascii="宋体" w:hAnsi="宋体"/>
          <w:szCs w:val="20"/>
        </w:rPr>
        <w:t>.</w:t>
      </w:r>
      <w:r>
        <w:rPr>
          <w:rFonts w:ascii="宋体" w:hAnsi="宋体"/>
          <w:b/>
          <w:szCs w:val="20"/>
        </w:rPr>
        <w:t>信息传递风险</w:t>
      </w:r>
      <w:r>
        <w:rPr>
          <w:rFonts w:ascii="宋体" w:hAnsi="宋体"/>
          <w:szCs w:val="20"/>
        </w:rPr>
        <w:t>：</w:t>
      </w:r>
      <w:r>
        <w:rPr>
          <w:rFonts w:hint="eastAsia" w:ascii="宋体" w:hAnsi="宋体"/>
          <w:szCs w:val="20"/>
        </w:rPr>
        <w:t>产品管理人</w:t>
      </w:r>
      <w:r>
        <w:rPr>
          <w:rFonts w:ascii="宋体" w:hAnsi="宋体"/>
          <w:szCs w:val="20"/>
        </w:rPr>
        <w:t>将按照本说明书有关“信息披露”的约定进行产品信息披露。投资者应根据“信息披露”的约定及时进行查询。如果投资者未及时查询，或由于</w:t>
      </w:r>
      <w:r>
        <w:rPr>
          <w:rFonts w:hint="eastAsia" w:ascii="宋体" w:hAnsi="宋体"/>
          <w:szCs w:val="20"/>
        </w:rPr>
        <w:t>其他不可抗力等因素的影响使得投资者无法及时了解产品信息，并由此影响投资者的投资决策，因此而产生的责任和风险由投资者自行承担。另外，投资者预留在产品管理人的有效联系方式发生变更，应及时通知产品管理人，如投资者未及时告知联系方式变更，产品管理人将可能在其认为需要时无法及时联系到投资者，并可能会由此影响投资者的投资决策，由此而产生的责任和风险由投资者自行承担。</w:t>
      </w:r>
    </w:p>
    <w:p>
      <w:pPr>
        <w:pStyle w:val="5"/>
        <w:tabs>
          <w:tab w:val="left" w:pos="720"/>
        </w:tabs>
        <w:spacing w:after="93" w:afterLines="30"/>
        <w:ind w:left="0" w:leftChars="0" w:firstLine="400"/>
        <w:rPr>
          <w:rFonts w:hint="eastAsia" w:ascii="宋体" w:hAnsi="宋体"/>
          <w:szCs w:val="20"/>
        </w:rPr>
      </w:pPr>
      <w:r>
        <w:rPr>
          <w:rFonts w:ascii="宋体" w:hAnsi="宋体"/>
          <w:szCs w:val="20"/>
        </w:rPr>
        <w:t>10.</w:t>
      </w:r>
      <w:r>
        <w:rPr>
          <w:rFonts w:hint="eastAsia" w:ascii="宋体" w:hAnsi="宋体"/>
          <w:b/>
          <w:szCs w:val="20"/>
        </w:rPr>
        <w:t>估值风险</w:t>
      </w:r>
      <w:r>
        <w:rPr>
          <w:rFonts w:hint="eastAsia" w:ascii="宋体" w:hAnsi="宋体"/>
          <w:szCs w:val="20"/>
        </w:rPr>
        <w:t>：本产品采用的估值方法有可能不能充分反映和揭示风险；或经济环境发生重大变化时，在一定时期内可能高估或低估本产品资产净值；理财产品的估值与实际变现价值可能发生偏离。产品管理人估值仅作为参考，产品管理人不承担第三方再次使用估值引发的其他风险</w:t>
      </w:r>
    </w:p>
    <w:p>
      <w:pPr>
        <w:pStyle w:val="5"/>
        <w:tabs>
          <w:tab w:val="left" w:pos="720"/>
        </w:tabs>
        <w:spacing w:after="30"/>
        <w:ind w:left="0" w:leftChars="0" w:firstLine="400"/>
        <w:rPr>
          <w:rFonts w:hint="eastAsia" w:ascii="宋体" w:hAnsi="宋体"/>
          <w:szCs w:val="20"/>
        </w:rPr>
      </w:pPr>
      <w:r>
        <w:rPr>
          <w:rFonts w:hint="eastAsia" w:ascii="宋体" w:hAnsi="宋体"/>
          <w:szCs w:val="20"/>
        </w:rPr>
        <w:t>1</w:t>
      </w:r>
      <w:r>
        <w:rPr>
          <w:rFonts w:ascii="宋体" w:hAnsi="宋体"/>
          <w:szCs w:val="20"/>
        </w:rPr>
        <w:t>1.</w:t>
      </w:r>
      <w:r>
        <w:rPr>
          <w:rFonts w:ascii="宋体" w:hAnsi="宋体"/>
          <w:b/>
          <w:szCs w:val="20"/>
        </w:rPr>
        <w:t>产品不成立风险：</w:t>
      </w:r>
      <w:r>
        <w:rPr>
          <w:rFonts w:hint="eastAsia" w:ascii="宋体" w:hAnsi="宋体"/>
          <w:szCs w:val="20"/>
        </w:rPr>
        <w:t>如本产品募集期届满，出现认购总份额未达到产品规模下限，或者出现相关法律法规或监管规定或政策发生变化，或者出现可能影响产品正常成立或运作的其他情况，或者产品管理人根据实际情况合理判断不适宜产品成立或运作的，产品管理人有权利但无义务决定本产品不成立，投资者面临再投资的风险。</w:t>
      </w:r>
    </w:p>
    <w:p>
      <w:pPr>
        <w:pStyle w:val="5"/>
        <w:tabs>
          <w:tab w:val="left" w:pos="720"/>
        </w:tabs>
        <w:spacing w:after="30"/>
        <w:ind w:left="0" w:leftChars="0" w:firstLine="400"/>
        <w:rPr>
          <w:rFonts w:hint="eastAsia" w:ascii="宋体" w:hAnsi="宋体"/>
          <w:szCs w:val="20"/>
        </w:rPr>
      </w:pPr>
      <w:r>
        <w:rPr>
          <w:rFonts w:ascii="宋体" w:hAnsi="宋体"/>
          <w:szCs w:val="20"/>
        </w:rPr>
        <w:t>12.</w:t>
      </w:r>
      <w:r>
        <w:rPr>
          <w:rFonts w:ascii="宋体" w:hAnsi="宋体"/>
          <w:b/>
          <w:szCs w:val="20"/>
        </w:rPr>
        <w:t>提前终止风险：</w:t>
      </w:r>
      <w:r>
        <w:rPr>
          <w:rFonts w:ascii="宋体" w:hAnsi="宋体"/>
          <w:szCs w:val="20"/>
        </w:rPr>
        <w:t>产品存续期内</w:t>
      </w:r>
      <w:r>
        <w:rPr>
          <w:rFonts w:hint="eastAsia" w:ascii="宋体" w:hAnsi="宋体"/>
          <w:szCs w:val="20"/>
        </w:rPr>
        <w:t xml:space="preserve">，若发生产品说明书约定的情形，产品管理人有权利但无义务决定提前终止本产品，本产品存在提前终止的风险。若产品提前终止，投资者面临不能按预定期限进行投资，需要自行再投资的风险。 </w:t>
      </w:r>
      <w:r>
        <w:rPr>
          <w:rFonts w:ascii="宋体" w:hAnsi="宋体"/>
          <w:szCs w:val="20"/>
        </w:rPr>
        <w:t xml:space="preserve"> </w:t>
      </w:r>
    </w:p>
    <w:p>
      <w:pPr>
        <w:pStyle w:val="5"/>
        <w:tabs>
          <w:tab w:val="left" w:pos="720"/>
        </w:tabs>
        <w:spacing w:after="30"/>
        <w:ind w:left="0" w:leftChars="0" w:firstLine="400"/>
        <w:rPr>
          <w:rFonts w:hint="eastAsia" w:ascii="宋体" w:hAnsi="宋体"/>
          <w:szCs w:val="20"/>
        </w:rPr>
      </w:pPr>
      <w:r>
        <w:rPr>
          <w:rFonts w:ascii="宋体" w:hAnsi="宋体"/>
          <w:szCs w:val="20"/>
        </w:rPr>
        <w:t>13.</w:t>
      </w:r>
      <w:r>
        <w:rPr>
          <w:rFonts w:ascii="宋体" w:hAnsi="宋体"/>
          <w:b/>
          <w:szCs w:val="20"/>
        </w:rPr>
        <w:t>不可抗力及意外事件风险：</w:t>
      </w:r>
      <w:r>
        <w:rPr>
          <w:rFonts w:ascii="宋体" w:hAnsi="宋体"/>
          <w:szCs w:val="20"/>
        </w:rPr>
        <w:t>包括但不限于自然灾害、公共卫生事件、战争或国家政策变化等不能预见、不能避免、不能克服的不可抗力事件或投资市场停止交易等意外事件的发生，可能对产品的成立、投资运作、资金返还、信息披露、公告通知等造成影响，甚至可能导致产品收益较低乃至产品本金损失。对于由于不可抗力及意外事件风险导致的任何损失，投资者须自行承担，产品管理人对此不承担任何责任。</w:t>
      </w:r>
    </w:p>
    <w:p>
      <w:pPr>
        <w:pStyle w:val="5"/>
        <w:tabs>
          <w:tab w:val="left" w:pos="720"/>
        </w:tabs>
        <w:spacing w:after="30"/>
        <w:ind w:left="0" w:leftChars="0" w:firstLine="400"/>
        <w:rPr>
          <w:rFonts w:hint="eastAsia" w:ascii="宋体" w:hAnsi="宋体"/>
          <w:szCs w:val="20"/>
        </w:rPr>
      </w:pPr>
      <w:r>
        <w:rPr>
          <w:rFonts w:ascii="宋体" w:hAnsi="宋体"/>
          <w:szCs w:val="20"/>
        </w:rPr>
        <w:t>14.</w:t>
      </w:r>
      <w:r>
        <w:rPr>
          <w:rFonts w:ascii="宋体" w:hAnsi="宋体"/>
          <w:b/>
          <w:szCs w:val="20"/>
        </w:rPr>
        <w:t>税收风险：</w:t>
      </w:r>
      <w:r>
        <w:rPr>
          <w:rFonts w:hint="eastAsia" w:ascii="宋体" w:hAnsi="宋体"/>
          <w:szCs w:val="20"/>
        </w:rPr>
        <w:t>产品管理人</w:t>
      </w:r>
      <w:r>
        <w:rPr>
          <w:rFonts w:ascii="宋体" w:hAnsi="宋体"/>
          <w:szCs w:val="20"/>
        </w:rPr>
        <w:t>暂不负责代扣代缴投资者购买本产品所得收益应缴纳的各项税款。若相关税法法规规定产品管理人应代扣代缴相关税款，</w:t>
      </w:r>
      <w:r>
        <w:rPr>
          <w:rFonts w:hint="eastAsia" w:ascii="宋体" w:hAnsi="宋体"/>
          <w:szCs w:val="20"/>
        </w:rPr>
        <w:t>产品管理人</w:t>
      </w:r>
      <w:r>
        <w:rPr>
          <w:rFonts w:ascii="宋体" w:hAnsi="宋体"/>
          <w:szCs w:val="20"/>
        </w:rPr>
        <w:t xml:space="preserve">有权依法履行代扣代缴义务。此外，税收法规的执行及修订可能对本产品投资运作等过程中需缴纳的相关税费产生影响，可能影响投资者收益，甚至造成产品本金损失的风险。 </w:t>
      </w:r>
    </w:p>
    <w:p>
      <w:pPr>
        <w:spacing w:after="120"/>
        <w:ind w:firstLine="358" w:firstLineChars="170"/>
        <w:rPr>
          <w:rFonts w:hint="eastAsia" w:ascii="宋体" w:hAnsi="宋体"/>
          <w:bCs/>
          <w:iCs/>
          <w:szCs w:val="21"/>
        </w:rPr>
      </w:pPr>
      <w:r>
        <w:rPr>
          <w:rFonts w:hint="eastAsia" w:ascii="宋体" w:hAnsi="宋体" w:cs="黑体"/>
          <w:b/>
          <w:kern w:val="0"/>
          <w:szCs w:val="21"/>
        </w:rPr>
        <w:t>本风险揭示书所揭示风险皆为列举性质，未能详尽列明投资者参与本产品所面临的全部风险和可能导致投资者资产损失的所有因素，请投资者充分评估投资风险。</w:t>
      </w:r>
    </w:p>
    <w:p>
      <w:pPr>
        <w:pStyle w:val="5"/>
        <w:tabs>
          <w:tab w:val="left" w:pos="720"/>
        </w:tabs>
        <w:spacing w:after="93" w:afterLines="30"/>
        <w:ind w:left="0" w:leftChars="0" w:firstLine="420" w:firstLineChars="200"/>
        <w:rPr>
          <w:rFonts w:hint="eastAsia" w:ascii="宋体" w:hAnsi="宋体" w:cs="宋体"/>
          <w:szCs w:val="20"/>
        </w:rPr>
      </w:pPr>
      <w:r>
        <w:rPr>
          <w:rFonts w:hint="eastAsia" w:ascii="宋体" w:hAnsi="宋体" w:cs="宋体"/>
          <w:szCs w:val="20"/>
        </w:rPr>
        <w:t>在</w:t>
      </w:r>
      <w:r>
        <w:rPr>
          <w:rFonts w:hint="eastAsia" w:ascii="宋体" w:hAnsi="宋体" w:cs="宋体"/>
          <w:bCs/>
          <w:iCs/>
          <w:szCs w:val="20"/>
        </w:rPr>
        <w:t>投资者</w:t>
      </w:r>
      <w:r>
        <w:rPr>
          <w:rFonts w:hint="eastAsia" w:ascii="宋体" w:hAnsi="宋体" w:cs="宋体"/>
          <w:szCs w:val="20"/>
        </w:rPr>
        <w:t>签署销售协议书前，应当仔细阅读投资者权益须知、投资协议书、本产品风险揭示书及本产品的产品说明书的全部内容，同时向</w:t>
      </w:r>
      <w:r>
        <w:rPr>
          <w:rFonts w:hint="eastAsia" w:ascii="宋体" w:hAnsi="宋体" w:cs="宋体"/>
          <w:bCs/>
          <w:iCs/>
          <w:szCs w:val="20"/>
        </w:rPr>
        <w:t>产品管理人</w:t>
      </w:r>
      <w:r>
        <w:rPr>
          <w:rFonts w:hint="eastAsia" w:ascii="宋体" w:hAnsi="宋体" w:cs="宋体"/>
          <w:szCs w:val="20"/>
        </w:rPr>
        <w:t>了解本产品的其他相关信息，并自己独立做出是否购买本产品的决定。</w:t>
      </w:r>
    </w:p>
    <w:p>
      <w:pPr>
        <w:spacing w:after="120"/>
        <w:ind w:firstLine="358" w:firstLineChars="170"/>
        <w:rPr>
          <w:rFonts w:hint="eastAsia" w:ascii="宋体" w:hAnsi="宋体"/>
          <w:bCs/>
          <w:iCs/>
          <w:szCs w:val="21"/>
        </w:rPr>
      </w:pPr>
      <w:r>
        <w:rPr>
          <w:rFonts w:hint="eastAsia" w:ascii="宋体" w:hAnsi="宋体"/>
          <w:b/>
          <w:bCs/>
          <w:iCs/>
          <w:szCs w:val="21"/>
        </w:rPr>
        <w:t>投资者签署风险揭示书、销售协议书、投资协议书，并将资金委托给产品管理人运作是投资者真实的意思表示</w:t>
      </w:r>
      <w:r>
        <w:rPr>
          <w:rFonts w:hint="eastAsia" w:ascii="宋体" w:hAnsi="宋体"/>
          <w:b/>
          <w:bCs/>
          <w:iCs/>
          <w:szCs w:val="20"/>
        </w:rPr>
        <w:t>，投资者已知悉并理解本产品的全部风险，并自愿承担由此带来的一切后果</w:t>
      </w:r>
      <w:r>
        <w:rPr>
          <w:rFonts w:hint="eastAsia" w:ascii="宋体" w:hAnsi="宋体"/>
          <w:b/>
          <w:bCs/>
          <w:iCs/>
          <w:szCs w:val="21"/>
        </w:rPr>
        <w:t>。</w:t>
      </w:r>
      <w:r>
        <w:rPr>
          <w:rFonts w:hint="eastAsia" w:ascii="宋体" w:hAnsi="宋体"/>
          <w:bCs/>
          <w:iCs/>
          <w:szCs w:val="21"/>
        </w:rPr>
        <w:t>本风险揭示书及相应的销售协议书、投资协议书、产品说明书、投资者权益须知将共同构成贵我双方理财合同的有效组成部分。</w:t>
      </w:r>
    </w:p>
    <w:p>
      <w:pPr>
        <w:spacing w:after="30"/>
        <w:ind w:firstLine="402"/>
        <w:rPr>
          <w:rFonts w:hint="eastAsia" w:ascii="宋体" w:hAnsi="宋体"/>
          <w:b/>
          <w:bCs/>
          <w:iCs/>
          <w:szCs w:val="20"/>
        </w:rPr>
      </w:pPr>
      <w:r>
        <w:rPr>
          <w:rFonts w:hint="eastAsia" w:ascii="宋体" w:hAnsi="宋体"/>
          <w:b/>
          <w:bCs/>
          <w:iCs/>
          <w:szCs w:val="21"/>
        </w:rPr>
        <w:t>特别提示：产品管理人有权按照法律法规和监管要求，从代销机构获知投资者身份信息并报送投资者身份信息及其持有理财产品信息。代销机构会在产品管理人需要时向其提供投资者身份识别的必要信息（投资者身份基本信息包括：投资者的姓名、性别、国籍、职业、住所地或者工作单位地址、联系方式、身份证明文件的种类、号码和有效期限），以及身份证明文件的复印件和影印件。</w:t>
      </w:r>
      <w:r>
        <w:rPr>
          <w:rFonts w:hint="eastAsia" w:ascii="宋体" w:hAnsi="宋体"/>
          <w:b/>
          <w:bCs/>
          <w:iCs/>
          <w:szCs w:val="20"/>
        </w:rPr>
        <w:t>投资者签署本风险揭示书即表示同意并配合提供前述信息。</w:t>
      </w:r>
    </w:p>
    <w:p>
      <w:pPr>
        <w:spacing w:after="120"/>
        <w:rPr>
          <w:rFonts w:hint="eastAsia" w:ascii="宋体" w:hAnsi="宋体"/>
          <w:bCs/>
          <w:iCs/>
          <w:szCs w:val="21"/>
        </w:rPr>
      </w:pPr>
    </w:p>
    <w:p>
      <w:pPr>
        <w:spacing w:after="120"/>
        <w:ind w:right="844"/>
        <w:rPr>
          <w:rFonts w:hint="eastAsia" w:ascii="宋体" w:hAnsi="宋体"/>
          <w:b/>
          <w:bCs/>
          <w:iCs/>
          <w:szCs w:val="21"/>
        </w:rPr>
      </w:pPr>
    </w:p>
    <w:p>
      <w:pPr>
        <w:spacing w:after="120"/>
        <w:ind w:right="0"/>
        <w:jc w:val="right"/>
        <w:rPr>
          <w:rFonts w:hint="eastAsia" w:ascii="宋体" w:hAnsi="宋体"/>
          <w:bCs/>
          <w:iCs/>
          <w:szCs w:val="21"/>
        </w:rPr>
      </w:pPr>
      <w:r>
        <w:rPr>
          <w:rFonts w:hint="eastAsia" w:ascii="宋体" w:hAnsi="宋体"/>
          <w:b/>
          <w:bCs/>
          <w:iCs/>
          <w:szCs w:val="21"/>
        </w:rPr>
        <w:t>风险揭示方：建信理财有限责任公司</w:t>
      </w:r>
    </w:p>
    <w:p>
      <w:pPr>
        <w:ind w:right="844"/>
        <w:jc w:val="right"/>
        <w:rPr>
          <w:rFonts w:hint="eastAsia" w:ascii="宋体" w:hAnsi="宋体"/>
          <w:bCs/>
          <w:iCs/>
          <w:szCs w:val="21"/>
        </w:rPr>
      </w:pPr>
      <w:r>
        <w:rPr>
          <w:rFonts w:hint="eastAsia" w:ascii="宋体" w:hAnsi="宋体"/>
          <w:bCs/>
          <w:iCs/>
          <w:szCs w:val="21"/>
        </w:rPr>
        <w:t>(投资者签字与签章见下一页)</w:t>
      </w:r>
    </w:p>
    <w:p>
      <w:pPr>
        <w:jc w:val="left"/>
        <w:rPr>
          <w:rFonts w:hint="eastAsia" w:ascii="宋体" w:hAnsi="宋体"/>
          <w:b/>
        </w:rPr>
      </w:pPr>
      <w:r>
        <w:rPr>
          <w:rFonts w:ascii="宋体" w:hAnsi="宋体"/>
          <w:b/>
        </w:rPr>
        <w:br w:type="page"/>
      </w:r>
      <w:r>
        <w:rPr>
          <w:rFonts w:hint="eastAsia" w:ascii="宋体" w:hAnsi="宋体"/>
          <w:b/>
        </w:rPr>
        <w:t>签字与签章</w:t>
      </w:r>
    </w:p>
    <w:p>
      <w:pPr>
        <w:pStyle w:val="22"/>
        <w:rPr>
          <w:rFonts w:hint="eastAsia" w:ascii="宋体" w:hAnsi="宋体" w:eastAsia="宋体"/>
          <w:sz w:val="21"/>
          <w:szCs w:val="21"/>
        </w:rPr>
      </w:pPr>
      <w:r>
        <w:rPr>
          <w:rFonts w:hint="eastAsia" w:ascii="宋体" w:hAnsi="宋体" w:eastAsia="宋体"/>
          <w:sz w:val="21"/>
          <w:szCs w:val="21"/>
        </w:rPr>
        <w:t>个人投资者请在下面填写投资者的风险承受能力评级、抄录风险揭示语句并签字：</w:t>
      </w:r>
    </w:p>
    <w:tbl>
      <w:tblPr>
        <w:tblStyle w:val="10"/>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tcPr>
          <w:p>
            <w:pPr>
              <w:pStyle w:val="22"/>
              <w:ind w:firstLine="420" w:firstLineChars="200"/>
              <w:rPr>
                <w:rFonts w:hint="eastAsia" w:ascii="宋体" w:hAnsi="宋体" w:eastAsia="宋体"/>
                <w:sz w:val="21"/>
                <w:szCs w:val="21"/>
              </w:rPr>
            </w:pPr>
          </w:p>
          <w:p>
            <w:pPr>
              <w:pStyle w:val="22"/>
              <w:ind w:firstLine="420" w:firstLineChars="200"/>
              <w:rPr>
                <w:rFonts w:hint="eastAsia" w:ascii="宋体" w:hAnsi="宋体" w:eastAsia="宋体"/>
                <w:sz w:val="21"/>
                <w:szCs w:val="21"/>
              </w:rPr>
            </w:pPr>
            <w:r>
              <w:rPr>
                <w:rFonts w:hint="eastAsia" w:ascii="宋体" w:hAnsi="宋体" w:eastAsia="宋体"/>
                <w:sz w:val="21"/>
                <w:szCs w:val="21"/>
              </w:rPr>
              <w:t xml:space="preserve">投资者声明：本人在购买本产品前已完成风险承受能力评估，且该评估结果具有效力。   </w:t>
            </w:r>
          </w:p>
          <w:p>
            <w:pPr>
              <w:pStyle w:val="22"/>
              <w:ind w:firstLine="420" w:firstLineChars="200"/>
              <w:rPr>
                <w:rFonts w:hint="eastAsia" w:ascii="宋体" w:hAnsi="宋体" w:eastAsia="宋体"/>
                <w:sz w:val="21"/>
                <w:szCs w:val="21"/>
              </w:rPr>
            </w:pPr>
          </w:p>
          <w:p>
            <w:pPr>
              <w:pStyle w:val="22"/>
              <w:ind w:firstLine="420" w:firstLineChars="200"/>
              <w:rPr>
                <w:rFonts w:hint="eastAsia" w:ascii="宋体" w:hAnsi="宋体" w:eastAsia="宋体"/>
                <w:bCs/>
                <w:szCs w:val="21"/>
                <w:u w:val="single"/>
              </w:rPr>
            </w:pPr>
            <w:r>
              <w:rPr>
                <w:rFonts w:hint="eastAsia" w:ascii="宋体" w:hAnsi="宋体" w:eastAsia="宋体"/>
                <w:sz w:val="21"/>
                <w:szCs w:val="21"/>
              </w:rPr>
              <w:t>本人风险承受能力评级：</w:t>
            </w:r>
            <w:r>
              <w:rPr>
                <w:rFonts w:hint="eastAsia" w:ascii="宋体" w:hAnsi="宋体" w:eastAsia="宋体"/>
                <w:bCs/>
                <w:szCs w:val="21"/>
                <w:u w:val="single"/>
              </w:rPr>
              <w:t xml:space="preserve">             </w:t>
            </w:r>
            <w:r>
              <w:rPr>
                <w:rFonts w:hint="eastAsia" w:ascii="宋体" w:hAnsi="宋体" w:eastAsia="宋体"/>
                <w:sz w:val="21"/>
                <w:szCs w:val="21"/>
              </w:rPr>
              <w:t>（由投资者自行填写）</w:t>
            </w:r>
          </w:p>
          <w:p>
            <w:pPr>
              <w:pStyle w:val="5"/>
              <w:ind w:left="0" w:leftChars="0"/>
              <w:rPr>
                <w:rFonts w:hint="eastAsia" w:ascii="宋体" w:hAnsi="宋体" w:cs="楷体_GB2312"/>
                <w:bCs/>
                <w:iCs/>
                <w:kern w:val="0"/>
                <w:szCs w:val="21"/>
              </w:rPr>
            </w:pPr>
          </w:p>
          <w:p>
            <w:pPr>
              <w:pStyle w:val="5"/>
              <w:rPr>
                <w:rFonts w:hint="eastAsia" w:ascii="宋体" w:hAnsi="宋体" w:cs="楷体_GB2312"/>
                <w:bCs/>
                <w:iCs/>
                <w:kern w:val="0"/>
                <w:szCs w:val="21"/>
              </w:rPr>
            </w:pPr>
            <w:r>
              <w:rPr>
                <w:rFonts w:hint="eastAsia" w:ascii="宋体" w:hAnsi="宋体" w:cs="楷体_GB2312"/>
                <w:bCs/>
                <w:iCs/>
                <w:kern w:val="0"/>
                <w:szCs w:val="21"/>
              </w:rPr>
              <w:t>根据监管部门的要求，为确保投资者充分理解本产品的风险，请在确认栏抄录以下语句并签名：</w:t>
            </w:r>
          </w:p>
          <w:p>
            <w:pPr>
              <w:pStyle w:val="5"/>
              <w:rPr>
                <w:rFonts w:hint="eastAsia" w:ascii="宋体" w:hAnsi="宋体"/>
                <w:b/>
                <w:bCs/>
                <w:sz w:val="30"/>
                <w:szCs w:val="30"/>
              </w:rPr>
            </w:pPr>
            <w:r>
              <w:rPr>
                <w:rFonts w:hint="eastAsia" w:ascii="宋体" w:hAnsi="宋体"/>
                <w:b/>
                <w:bCs/>
                <w:sz w:val="30"/>
                <w:szCs w:val="30"/>
              </w:rPr>
              <w:t>本人已经阅读风险揭示，愿意承担投资风险。</w:t>
            </w:r>
          </w:p>
          <w:p>
            <w:pPr>
              <w:pStyle w:val="5"/>
              <w:rPr>
                <w:rFonts w:hint="eastAsia" w:ascii="宋体" w:hAnsi="宋体"/>
                <w:bCs/>
                <w:szCs w:val="21"/>
              </w:rPr>
            </w:pPr>
            <w:r>
              <w:rPr>
                <w:rFonts w:hint="eastAsia" w:ascii="宋体" w:hAnsi="宋体"/>
                <w:bCs/>
                <w:szCs w:val="21"/>
              </w:rPr>
              <w:t>投资者抄录：</w:t>
            </w:r>
            <w:r>
              <w:rPr>
                <w:rFonts w:hint="eastAsia" w:ascii="宋体" w:hAnsi="宋体"/>
                <w:bCs/>
                <w:szCs w:val="21"/>
                <w:u w:val="single"/>
              </w:rPr>
              <w:t xml:space="preserve">                                                                  </w:t>
            </w:r>
            <w:r>
              <w:rPr>
                <w:rFonts w:hint="eastAsia" w:ascii="宋体" w:hAnsi="宋体"/>
                <w:bCs/>
                <w:szCs w:val="21"/>
              </w:rPr>
              <w:t xml:space="preserve">                                                                                             </w:t>
            </w:r>
          </w:p>
          <w:p>
            <w:pPr>
              <w:pStyle w:val="5"/>
              <w:rPr>
                <w:rFonts w:hint="eastAsia" w:ascii="宋体" w:hAnsi="宋体"/>
                <w:bCs/>
                <w:szCs w:val="21"/>
              </w:rPr>
            </w:pPr>
            <w:r>
              <w:rPr>
                <w:rFonts w:hint="eastAsia" w:ascii="宋体" w:hAnsi="宋体"/>
                <w:bCs/>
                <w:szCs w:val="21"/>
                <w:u w:val="single"/>
              </w:rPr>
              <w:t xml:space="preserve">                                                                                  </w:t>
            </w:r>
            <w:r>
              <w:rPr>
                <w:rFonts w:hint="eastAsia" w:ascii="宋体" w:hAnsi="宋体"/>
                <w:bCs/>
                <w:szCs w:val="21"/>
              </w:rPr>
              <w:t xml:space="preserve">                                                                                </w:t>
            </w:r>
          </w:p>
          <w:p>
            <w:pPr>
              <w:pStyle w:val="5"/>
              <w:ind w:left="0" w:leftChars="0" w:firstLine="420" w:firstLineChars="200"/>
              <w:rPr>
                <w:rFonts w:hint="eastAsia" w:ascii="宋体" w:hAnsi="宋体"/>
                <w:bCs/>
                <w:szCs w:val="21"/>
              </w:rPr>
            </w:pPr>
          </w:p>
          <w:p>
            <w:pPr>
              <w:pStyle w:val="5"/>
              <w:ind w:left="0" w:leftChars="0" w:firstLine="420" w:firstLineChars="200"/>
              <w:rPr>
                <w:rFonts w:hint="eastAsia" w:ascii="宋体" w:hAnsi="宋体" w:cs="楷体_GB2312"/>
                <w:bCs/>
                <w:iCs/>
                <w:kern w:val="0"/>
                <w:szCs w:val="21"/>
              </w:rPr>
            </w:pPr>
            <w:r>
              <w:rPr>
                <w:rFonts w:hint="eastAsia" w:ascii="宋体" w:hAnsi="宋体"/>
                <w:bCs/>
                <w:szCs w:val="21"/>
              </w:rPr>
              <w:t>投资者签名：</w:t>
            </w:r>
            <w:r>
              <w:rPr>
                <w:rFonts w:hint="eastAsia" w:ascii="宋体" w:hAnsi="宋体"/>
                <w:bCs/>
                <w:szCs w:val="21"/>
                <w:u w:val="single"/>
              </w:rPr>
              <w:t xml:space="preserve">                               </w:t>
            </w:r>
            <w:r>
              <w:rPr>
                <w:rFonts w:hint="eastAsia" w:ascii="宋体" w:hAnsi="宋体"/>
                <w:bCs/>
                <w:szCs w:val="21"/>
              </w:rPr>
              <w:t xml:space="preserve">    （ </w:t>
            </w:r>
            <w:r>
              <w:rPr>
                <w:rFonts w:hint="eastAsia" w:ascii="宋体" w:hAnsi="宋体" w:cs="楷体_GB2312"/>
                <w:bCs/>
                <w:iCs/>
                <w:kern w:val="0"/>
                <w:szCs w:val="21"/>
              </w:rPr>
              <w:t>投资者声明：投资决策完全是由投资者独立、自主、谨慎做出的。投资者已经阅读</w:t>
            </w:r>
            <w:r>
              <w:rPr>
                <w:rFonts w:hint="eastAsia" w:ascii="宋体" w:hAnsi="宋体" w:cs="楷体_GB2312"/>
                <w:bCs/>
                <w:iCs/>
                <w:kern w:val="0"/>
                <w:szCs w:val="21"/>
                <w:u w:val="single"/>
              </w:rPr>
              <w:t>投资者权益须知、本产品风险揭示书、本产品说明书、投资协议书及销售协议书所有条款（包括背面）</w:t>
            </w:r>
            <w:r>
              <w:rPr>
                <w:rFonts w:hint="eastAsia" w:ascii="宋体" w:hAnsi="宋体" w:cs="楷体_GB2312"/>
                <w:bCs/>
                <w:iCs/>
                <w:kern w:val="0"/>
                <w:szCs w:val="21"/>
              </w:rPr>
              <w:t>，充分理解并自愿承担本产品相关风险。）</w:t>
            </w:r>
          </w:p>
          <w:p>
            <w:pPr>
              <w:pStyle w:val="5"/>
              <w:ind w:left="0" w:leftChars="0" w:firstLine="420" w:firstLineChars="200"/>
              <w:rPr>
                <w:rFonts w:hint="eastAsia" w:ascii="宋体" w:hAnsi="宋体"/>
                <w:bCs/>
                <w:szCs w:val="21"/>
              </w:rPr>
            </w:pPr>
            <w:r>
              <w:rPr>
                <w:rFonts w:hint="eastAsia" w:ascii="宋体" w:hAnsi="宋体"/>
                <w:bCs/>
                <w:szCs w:val="21"/>
              </w:rPr>
              <w:t xml:space="preserve">                   </w:t>
            </w:r>
          </w:p>
          <w:p>
            <w:pPr>
              <w:pStyle w:val="5"/>
              <w:ind w:firstLine="5250" w:firstLineChars="2500"/>
              <w:rPr>
                <w:rFonts w:hint="eastAsia" w:ascii="宋体" w:hAnsi="宋体"/>
                <w:bCs/>
                <w:szCs w:val="21"/>
              </w:rPr>
            </w:pPr>
            <w:r>
              <w:rPr>
                <w:rFonts w:hint="eastAsia" w:ascii="宋体" w:hAnsi="宋体"/>
                <w:bCs/>
                <w:szCs w:val="21"/>
              </w:rPr>
              <w:t xml:space="preserve">     年      月      日</w:t>
            </w:r>
          </w:p>
        </w:tc>
      </w:tr>
    </w:tbl>
    <w:p>
      <w:pPr>
        <w:rPr>
          <w:vanish/>
        </w:rPr>
      </w:pPr>
    </w:p>
    <w:p>
      <w:pPr>
        <w:pStyle w:val="5"/>
        <w:tabs>
          <w:tab w:val="left" w:pos="720"/>
        </w:tabs>
        <w:ind w:left="0" w:leftChars="0"/>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建信理财建信宝按日开放式净值型理财产品第21期说明书</w:t>
      </w:r>
    </w:p>
    <w:p>
      <w:pPr>
        <w:pStyle w:val="5"/>
        <w:tabs>
          <w:tab w:val="left" w:pos="720"/>
        </w:tabs>
        <w:ind w:leftChars="0"/>
        <w:outlineLvl w:val="0"/>
        <w:rPr>
          <w:rFonts w:hint="eastAsia" w:ascii="宋体" w:hAnsi="宋体"/>
          <w:b/>
          <w:sz w:val="24"/>
        </w:rPr>
      </w:pPr>
      <w:r>
        <w:rPr>
          <w:rFonts w:hint="eastAsia" w:ascii="宋体" w:hAnsi="宋体"/>
          <w:b/>
          <w:sz w:val="24"/>
        </w:rPr>
        <w:t>一、产品要素</w:t>
      </w:r>
    </w:p>
    <w:tbl>
      <w:tblPr>
        <w:tblStyle w:val="10"/>
        <w:tblW w:w="8306" w:type="dxa"/>
        <w:tblInd w:w="-15" w:type="dxa"/>
        <w:tblLayout w:type="autofit"/>
        <w:tblCellMar>
          <w:top w:w="0" w:type="dxa"/>
          <w:left w:w="0" w:type="dxa"/>
          <w:bottom w:w="0" w:type="dxa"/>
          <w:right w:w="0" w:type="dxa"/>
        </w:tblCellMar>
      </w:tblPr>
      <w:tblGrid>
        <w:gridCol w:w="2160"/>
        <w:gridCol w:w="6146"/>
      </w:tblGrid>
      <w:tr>
        <w:tblPrEx>
          <w:tblCellMar>
            <w:top w:w="0" w:type="dxa"/>
            <w:left w:w="0" w:type="dxa"/>
            <w:bottom w:w="0" w:type="dxa"/>
            <w:right w:w="0" w:type="dxa"/>
          </w:tblCellMar>
        </w:tblPrEx>
        <w:trPr>
          <w:trHeight w:val="315" w:hRule="atLeast"/>
        </w:trPr>
        <w:tc>
          <w:tcPr>
            <w:tcW w:w="2160"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产品编号</w:t>
            </w:r>
          </w:p>
        </w:tc>
        <w:tc>
          <w:tcPr>
            <w:tcW w:w="6146"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pPr>
              <w:ind w:right="189" w:rightChars="90"/>
              <w:jc w:val="center"/>
              <w:rPr>
                <w:rFonts w:hint="eastAsia" w:ascii="宋体" w:hAnsi="宋体"/>
                <w:bCs/>
                <w:sz w:val="18"/>
                <w:szCs w:val="18"/>
              </w:rPr>
            </w:pPr>
            <w:r>
              <w:rPr>
                <w:rFonts w:hint="eastAsia" w:ascii="宋体" w:hAnsi="宋体"/>
                <w:bCs/>
                <w:sz w:val="18"/>
                <w:szCs w:val="18"/>
              </w:rPr>
              <w:t>JXJXBGS2025031721</w:t>
            </w:r>
          </w:p>
        </w:tc>
      </w:tr>
      <w:tr>
        <w:tblPrEx>
          <w:tblCellMar>
            <w:top w:w="0" w:type="dxa"/>
            <w:left w:w="0" w:type="dxa"/>
            <w:bottom w:w="0" w:type="dxa"/>
            <w:right w:w="0" w:type="dxa"/>
          </w:tblCellMar>
        </w:tblPrEx>
        <w:trPr>
          <w:trHeight w:val="315"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全国银行业理财信息登记系统编号</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jc w:val="center"/>
              <w:rPr>
                <w:rFonts w:hint="eastAsia" w:ascii="宋体" w:hAnsi="宋体"/>
                <w:sz w:val="18"/>
                <w:szCs w:val="18"/>
              </w:rPr>
            </w:pPr>
            <w:r>
              <w:rPr>
                <w:rFonts w:hint="eastAsia" w:ascii="宋体" w:hAnsi="宋体"/>
                <w:sz w:val="18"/>
                <w:szCs w:val="18"/>
              </w:rPr>
              <w:t>Z7000725000277</w:t>
            </w:r>
          </w:p>
          <w:p>
            <w:pPr>
              <w:ind w:left="164" w:leftChars="78" w:right="189" w:rightChars="90"/>
              <w:rPr>
                <w:rFonts w:hint="eastAsia" w:ascii="宋体" w:hAnsi="宋体"/>
                <w:sz w:val="18"/>
                <w:szCs w:val="18"/>
              </w:rPr>
            </w:pPr>
            <w:r>
              <w:rPr>
                <w:rFonts w:hint="eastAsia" w:ascii="宋体" w:hAnsi="宋体"/>
                <w:sz w:val="18"/>
                <w:szCs w:val="18"/>
              </w:rPr>
              <w:t>可依据该编码在中国理财网（www.chinawealth.com.cn</w:t>
            </w:r>
            <w:r>
              <w:rPr>
                <w:rFonts w:ascii="宋体" w:hAnsi="宋体"/>
                <w:sz w:val="18"/>
                <w:szCs w:val="18"/>
              </w:rPr>
              <w:t>）</w:t>
            </w:r>
            <w:r>
              <w:rPr>
                <w:rFonts w:hint="eastAsia" w:ascii="宋体" w:hAnsi="宋体"/>
                <w:sz w:val="18"/>
                <w:szCs w:val="18"/>
              </w:rPr>
              <w:t>上查询产品信息</w:t>
            </w:r>
          </w:p>
        </w:tc>
      </w:tr>
      <w:tr>
        <w:tblPrEx>
          <w:tblCellMar>
            <w:top w:w="0" w:type="dxa"/>
            <w:left w:w="0" w:type="dxa"/>
            <w:bottom w:w="0" w:type="dxa"/>
            <w:right w:w="0" w:type="dxa"/>
          </w:tblCellMar>
        </w:tblPrEx>
        <w:trPr>
          <w:trHeight w:val="315"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产品说明书版本</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5" w:firstLineChars="92"/>
              <w:jc w:val="center"/>
              <w:rPr>
                <w:rFonts w:hint="eastAsia" w:ascii="宋体" w:hAnsi="宋体"/>
                <w:sz w:val="18"/>
                <w:szCs w:val="18"/>
              </w:rPr>
            </w:pPr>
            <w:r>
              <w:rPr>
                <w:rFonts w:hint="eastAsia" w:ascii="宋体" w:hAnsi="宋体"/>
                <w:sz w:val="18"/>
                <w:szCs w:val="18"/>
              </w:rPr>
              <w:t>2026年第</w:t>
            </w:r>
            <w:r>
              <w:rPr>
                <w:rFonts w:hint="eastAsia" w:ascii="宋体" w:hAnsi="宋体"/>
                <w:sz w:val="18"/>
                <w:szCs w:val="18"/>
                <w:lang w:val="en-US" w:eastAsia="zh-CN"/>
              </w:rPr>
              <w:t>3</w:t>
            </w:r>
            <w:r>
              <w:rPr>
                <w:rFonts w:hint="eastAsia" w:ascii="宋体" w:hAnsi="宋体"/>
                <w:sz w:val="18"/>
                <w:szCs w:val="18"/>
              </w:rPr>
              <w:t>版</w:t>
            </w:r>
          </w:p>
        </w:tc>
      </w:tr>
      <w:tr>
        <w:tblPrEx>
          <w:tblCellMar>
            <w:top w:w="0" w:type="dxa"/>
            <w:left w:w="0" w:type="dxa"/>
            <w:bottom w:w="0" w:type="dxa"/>
            <w:right w:w="0" w:type="dxa"/>
          </w:tblCellMar>
        </w:tblPrEx>
        <w:trPr>
          <w:trHeight w:val="315"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产品名称</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5" w:firstLineChars="92"/>
              <w:jc w:val="center"/>
              <w:rPr>
                <w:rFonts w:hint="eastAsia" w:ascii="宋体" w:hAnsi="宋体"/>
                <w:sz w:val="18"/>
                <w:szCs w:val="18"/>
              </w:rPr>
            </w:pPr>
            <w:r>
              <w:rPr>
                <w:rFonts w:hint="eastAsia" w:ascii="宋体" w:hAnsi="宋体"/>
                <w:bCs/>
                <w:sz w:val="18"/>
                <w:szCs w:val="18"/>
              </w:rPr>
              <w:t>建信理财建信宝按日开放式净值型理财产品第21期</w:t>
            </w:r>
          </w:p>
        </w:tc>
      </w:tr>
      <w:tr>
        <w:tblPrEx>
          <w:tblCellMar>
            <w:top w:w="0" w:type="dxa"/>
            <w:left w:w="0" w:type="dxa"/>
            <w:bottom w:w="0" w:type="dxa"/>
            <w:right w:w="0" w:type="dxa"/>
          </w:tblCellMar>
        </w:tblPrEx>
        <w:trPr>
          <w:trHeight w:val="315"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产品募集方式</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6" w:firstLineChars="92"/>
              <w:jc w:val="center"/>
              <w:rPr>
                <w:rFonts w:hint="eastAsia" w:ascii="宋体" w:hAnsi="宋体"/>
                <w:bCs/>
                <w:sz w:val="18"/>
                <w:szCs w:val="18"/>
              </w:rPr>
            </w:pPr>
            <w:r>
              <w:rPr>
                <w:rFonts w:hint="eastAsia" w:ascii="宋体" w:hAnsi="宋体"/>
                <w:b/>
                <w:sz w:val="18"/>
                <w:szCs w:val="18"/>
              </w:rPr>
              <w:t>公募</w:t>
            </w:r>
          </w:p>
        </w:tc>
      </w:tr>
      <w:tr>
        <w:tblPrEx>
          <w:tblCellMar>
            <w:top w:w="0" w:type="dxa"/>
            <w:left w:w="0" w:type="dxa"/>
            <w:bottom w:w="0" w:type="dxa"/>
            <w:right w:w="0" w:type="dxa"/>
          </w:tblCellMar>
        </w:tblPrEx>
        <w:trPr>
          <w:trHeight w:val="315"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产品类型</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6" w:firstLineChars="92"/>
              <w:jc w:val="center"/>
              <w:rPr>
                <w:rFonts w:hint="eastAsia" w:ascii="宋体" w:hAnsi="宋体"/>
                <w:b/>
                <w:sz w:val="18"/>
                <w:szCs w:val="18"/>
              </w:rPr>
            </w:pPr>
            <w:r>
              <w:rPr>
                <w:rFonts w:hint="eastAsia" w:ascii="宋体" w:hAnsi="宋体"/>
                <w:b/>
                <w:sz w:val="18"/>
                <w:szCs w:val="18"/>
              </w:rPr>
              <w:t>固定收益类、非保本浮动收益型</w:t>
            </w:r>
          </w:p>
        </w:tc>
      </w:tr>
      <w:tr>
        <w:tblPrEx>
          <w:tblCellMar>
            <w:top w:w="0" w:type="dxa"/>
            <w:left w:w="0" w:type="dxa"/>
            <w:bottom w:w="0" w:type="dxa"/>
            <w:right w:w="0" w:type="dxa"/>
          </w:tblCellMar>
        </w:tblPrEx>
        <w:trPr>
          <w:trHeight w:val="315"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color w:val="000000"/>
                <w:sz w:val="18"/>
                <w:szCs w:val="18"/>
              </w:rPr>
              <w:t>运作方式</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5" w:firstLineChars="92"/>
              <w:jc w:val="center"/>
              <w:rPr>
                <w:rFonts w:hint="eastAsia" w:ascii="宋体" w:hAnsi="宋体"/>
                <w:sz w:val="18"/>
                <w:szCs w:val="18"/>
              </w:rPr>
            </w:pPr>
            <w:r>
              <w:rPr>
                <w:rFonts w:hint="eastAsia" w:ascii="宋体" w:hAnsi="宋体"/>
                <w:sz w:val="18"/>
                <w:szCs w:val="18"/>
              </w:rPr>
              <w:t>开放式</w:t>
            </w:r>
          </w:p>
          <w:p>
            <w:pPr>
              <w:ind w:left="164" w:leftChars="78" w:right="189" w:rightChars="90" w:firstLine="166" w:firstLineChars="92"/>
              <w:jc w:val="center"/>
              <w:rPr>
                <w:rFonts w:hint="eastAsia" w:ascii="宋体" w:hAnsi="宋体"/>
                <w:b/>
                <w:sz w:val="18"/>
                <w:szCs w:val="18"/>
              </w:rPr>
            </w:pPr>
            <w:r>
              <w:rPr>
                <w:rFonts w:hint="eastAsia" w:ascii="宋体" w:hAnsi="宋体"/>
                <w:b/>
                <w:color w:val="000000"/>
                <w:sz w:val="18"/>
                <w:szCs w:val="18"/>
              </w:rPr>
              <w:t>产品管理人有权根据实际情况调整运作方式。</w:t>
            </w:r>
          </w:p>
        </w:tc>
      </w:tr>
      <w:tr>
        <w:tblPrEx>
          <w:tblCellMar>
            <w:top w:w="0" w:type="dxa"/>
            <w:left w:w="0" w:type="dxa"/>
            <w:bottom w:w="0" w:type="dxa"/>
            <w:right w:w="0" w:type="dxa"/>
          </w:tblCellMar>
        </w:tblPrEx>
        <w:trPr>
          <w:trHeight w:val="315"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产品内部风险评级</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420" w:right="189" w:rightChars="90"/>
              <w:jc w:val="center"/>
              <w:rPr>
                <w:rFonts w:hint="eastAsia" w:ascii="宋体" w:hAnsi="宋体"/>
                <w:b/>
                <w:sz w:val="18"/>
                <w:szCs w:val="18"/>
              </w:rPr>
            </w:pPr>
            <w:r>
              <w:rPr>
                <w:rFonts w:hint="eastAsia" w:ascii="宋体" w:hAnsi="宋体"/>
                <w:b/>
                <w:sz w:val="18"/>
                <w:szCs w:val="18"/>
              </w:rPr>
              <w:t>R1低风险</w:t>
            </w:r>
          </w:p>
          <w:p>
            <w:pPr>
              <w:ind w:right="189" w:rightChars="90" w:firstLine="361" w:firstLineChars="200"/>
              <w:jc w:val="left"/>
              <w:rPr>
                <w:rFonts w:hint="eastAsia" w:ascii="宋体" w:hAnsi="宋体"/>
                <w:b/>
                <w:sz w:val="18"/>
                <w:szCs w:val="18"/>
              </w:rPr>
            </w:pPr>
            <w:r>
              <w:rPr>
                <w:rFonts w:hint="eastAsia" w:ascii="宋体" w:hAnsi="宋体"/>
                <w:b/>
                <w:sz w:val="18"/>
                <w:szCs w:val="18"/>
              </w:rPr>
              <w:t>该产品通过代销机构渠道销售的，代销机构将对理财产品进行风险评级并对投资者进行风险承受能力测评，理财产品评级应当以代销机构最终披露的评级结果为准。代销机构的评级结果与管理人不一致的，将采用对应较高风险等级的评级结果。</w:t>
            </w:r>
          </w:p>
        </w:tc>
      </w:tr>
      <w:tr>
        <w:tblPrEx>
          <w:tblCellMar>
            <w:top w:w="0" w:type="dxa"/>
            <w:left w:w="0" w:type="dxa"/>
            <w:bottom w:w="0" w:type="dxa"/>
            <w:right w:w="0" w:type="dxa"/>
          </w:tblCellMar>
        </w:tblPrEx>
        <w:trPr>
          <w:trHeight w:val="315"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适合客户</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6" w:firstLineChars="92"/>
              <w:jc w:val="center"/>
              <w:rPr>
                <w:rFonts w:hint="eastAsia" w:ascii="宋体" w:hAnsi="宋体"/>
                <w:b/>
                <w:sz w:val="18"/>
                <w:szCs w:val="18"/>
              </w:rPr>
            </w:pPr>
            <w:r>
              <w:rPr>
                <w:rFonts w:hint="eastAsia" w:ascii="宋体" w:hAnsi="宋体"/>
                <w:b/>
                <w:sz w:val="18"/>
                <w:szCs w:val="18"/>
              </w:rPr>
              <w:t>【个人】投资者，适合【谨慎型、稳健型、平衡型、进取型、激进型】投资者。代销机构对产品的发行对象与管理人不一致的，以代销机构为准。</w:t>
            </w:r>
          </w:p>
        </w:tc>
      </w:tr>
      <w:tr>
        <w:tblPrEx>
          <w:tblCellMar>
            <w:top w:w="0" w:type="dxa"/>
            <w:left w:w="0" w:type="dxa"/>
            <w:bottom w:w="0" w:type="dxa"/>
            <w:right w:w="0" w:type="dxa"/>
          </w:tblCellMar>
        </w:tblPrEx>
        <w:trPr>
          <w:trHeight w:val="315" w:hRule="atLeast"/>
        </w:trPr>
        <w:tc>
          <w:tcPr>
            <w:tcW w:w="2160"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本金和收益币种</w:t>
            </w:r>
          </w:p>
        </w:tc>
        <w:tc>
          <w:tcPr>
            <w:tcW w:w="6146"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5" w:firstLineChars="92"/>
              <w:jc w:val="center"/>
              <w:rPr>
                <w:rFonts w:hint="eastAsia" w:ascii="宋体" w:hAnsi="宋体"/>
                <w:sz w:val="18"/>
                <w:szCs w:val="18"/>
              </w:rPr>
            </w:pPr>
            <w:r>
              <w:rPr>
                <w:rFonts w:hint="eastAsia" w:ascii="宋体" w:hAnsi="宋体"/>
                <w:sz w:val="18"/>
                <w:szCs w:val="18"/>
              </w:rPr>
              <w:t>人民币</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募集期</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bottom"/>
          </w:tcPr>
          <w:p>
            <w:pPr>
              <w:jc w:val="center"/>
              <w:rPr>
                <w:rFonts w:hint="eastAsia" w:ascii="宋体" w:hAnsi="宋体"/>
                <w:sz w:val="18"/>
                <w:szCs w:val="18"/>
              </w:rPr>
            </w:pPr>
            <w:r>
              <w:rPr>
                <w:rFonts w:hint="eastAsia" w:ascii="宋体" w:hAnsi="宋体"/>
                <w:sz w:val="18"/>
                <w:szCs w:val="18"/>
              </w:rPr>
              <w:t>2025年6月11日9:00至2025年6月12日17:00</w:t>
            </w:r>
          </w:p>
          <w:p>
            <w:pPr>
              <w:ind w:right="189" w:rightChars="90" w:firstLine="360" w:firstLineChars="200"/>
              <w:rPr>
                <w:rFonts w:hint="eastAsia" w:ascii="宋体" w:hAnsi="宋体"/>
                <w:sz w:val="18"/>
                <w:szCs w:val="18"/>
              </w:rPr>
            </w:pPr>
            <w:r>
              <w:rPr>
                <w:rFonts w:hint="eastAsia" w:ascii="宋体" w:hAnsi="宋体"/>
                <w:sz w:val="18"/>
                <w:szCs w:val="18"/>
              </w:rPr>
              <w:t>1.投资者可以在上述时间内进行产品认购，募集期允许认购追加、撤单。</w:t>
            </w:r>
          </w:p>
          <w:p>
            <w:pPr>
              <w:ind w:right="189" w:rightChars="90" w:firstLine="360" w:firstLineChars="200"/>
              <w:rPr>
                <w:rFonts w:hint="eastAsia" w:ascii="宋体" w:hAnsi="宋体"/>
                <w:sz w:val="18"/>
                <w:szCs w:val="18"/>
              </w:rPr>
            </w:pPr>
            <w:r>
              <w:rPr>
                <w:rFonts w:hint="eastAsia" w:ascii="宋体" w:hAnsi="宋体"/>
                <w:sz w:val="18"/>
                <w:szCs w:val="18"/>
              </w:rPr>
              <w:t>2.根据市场情况，产品管理人有权提前结束产品募集期并成立本产品。</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产品成立日</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89" w:rightChars="90" w:firstLine="360" w:firstLineChars="200"/>
              <w:jc w:val="center"/>
              <w:rPr>
                <w:rFonts w:hint="eastAsia" w:ascii="宋体" w:hAnsi="宋体"/>
                <w:sz w:val="18"/>
                <w:szCs w:val="18"/>
              </w:rPr>
            </w:pPr>
            <w:r>
              <w:rPr>
                <w:rFonts w:hint="eastAsia" w:ascii="宋体" w:hAnsi="宋体"/>
                <w:sz w:val="18"/>
                <w:szCs w:val="18"/>
              </w:rPr>
              <w:t>2025年6月13日</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产品期限</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5" w:firstLineChars="92"/>
              <w:jc w:val="center"/>
              <w:rPr>
                <w:rFonts w:hint="eastAsia" w:ascii="宋体" w:hAnsi="宋体"/>
                <w:sz w:val="18"/>
                <w:szCs w:val="18"/>
              </w:rPr>
            </w:pPr>
            <w:r>
              <w:rPr>
                <w:rFonts w:hint="eastAsia" w:ascii="宋体" w:hAnsi="宋体"/>
                <w:sz w:val="18"/>
                <w:szCs w:val="18"/>
              </w:rPr>
              <w:t>无固定期限</w:t>
            </w:r>
          </w:p>
          <w:p>
            <w:pPr>
              <w:ind w:left="164" w:leftChars="78" w:right="189" w:rightChars="90" w:firstLine="165" w:firstLineChars="92"/>
              <w:jc w:val="center"/>
              <w:rPr>
                <w:rFonts w:hint="eastAsia" w:ascii="宋体" w:hAnsi="宋体"/>
                <w:sz w:val="18"/>
                <w:szCs w:val="18"/>
              </w:rPr>
            </w:pPr>
            <w:r>
              <w:rPr>
                <w:rFonts w:hint="eastAsia" w:ascii="宋体" w:hAnsi="宋体"/>
                <w:sz w:val="18"/>
                <w:szCs w:val="18"/>
              </w:rPr>
              <w:t>产品管理人有权根据实际情况</w:t>
            </w:r>
            <w:r>
              <w:rPr>
                <w:rFonts w:ascii="宋体" w:hAnsi="宋体"/>
                <w:sz w:val="18"/>
                <w:szCs w:val="18"/>
              </w:rPr>
              <w:t>提前终止产品。</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产品工作日</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89" w:rightChars="90" w:firstLine="360" w:firstLineChars="200"/>
              <w:rPr>
                <w:rFonts w:hint="eastAsia" w:ascii="宋体" w:hAnsi="宋体"/>
                <w:sz w:val="18"/>
                <w:szCs w:val="18"/>
              </w:rPr>
            </w:pPr>
            <w:r>
              <w:rPr>
                <w:rFonts w:hint="eastAsia" w:ascii="宋体" w:hAnsi="宋体"/>
                <w:sz w:val="18"/>
                <w:szCs w:val="18"/>
              </w:rPr>
              <w:t>产品工作日是指国家法定工作日；如遇特殊情况，以产品管理人具体公告为准。</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产品</w:t>
            </w:r>
            <w:r>
              <w:rPr>
                <w:rFonts w:ascii="宋体" w:hAnsi="宋体"/>
                <w:color w:val="000000"/>
                <w:sz w:val="18"/>
                <w:szCs w:val="18"/>
              </w:rPr>
              <w:t>开放日</w:t>
            </w:r>
            <w:r>
              <w:rPr>
                <w:rFonts w:hint="eastAsia" w:ascii="宋体" w:hAnsi="宋体"/>
                <w:color w:val="000000"/>
                <w:sz w:val="18"/>
                <w:szCs w:val="18"/>
              </w:rPr>
              <w:t>（T日）和</w:t>
            </w:r>
          </w:p>
          <w:p>
            <w:pPr>
              <w:jc w:val="center"/>
              <w:rPr>
                <w:rFonts w:hint="eastAsia" w:ascii="宋体" w:hAnsi="宋体"/>
                <w:sz w:val="18"/>
                <w:szCs w:val="18"/>
              </w:rPr>
            </w:pPr>
            <w:r>
              <w:rPr>
                <w:rFonts w:hint="eastAsia" w:ascii="宋体" w:hAnsi="宋体"/>
                <w:color w:val="000000"/>
                <w:sz w:val="18"/>
                <w:szCs w:val="18"/>
              </w:rPr>
              <w:t>开放时间</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firstLine="360" w:firstLineChars="200"/>
              <w:rPr>
                <w:rFonts w:hint="eastAsia"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产品成立日后的</w:t>
            </w:r>
            <w:r>
              <w:rPr>
                <w:rFonts w:ascii="宋体" w:hAnsi="宋体"/>
                <w:color w:val="000000"/>
                <w:sz w:val="18"/>
                <w:szCs w:val="18"/>
              </w:rPr>
              <w:t>每个产品工作日为产品开放日</w:t>
            </w:r>
            <w:r>
              <w:rPr>
                <w:rFonts w:hint="eastAsia" w:ascii="宋体" w:hAnsi="宋体"/>
                <w:color w:val="000000"/>
                <w:sz w:val="18"/>
                <w:szCs w:val="18"/>
              </w:rPr>
              <w:t>。</w:t>
            </w:r>
          </w:p>
          <w:p>
            <w:pPr>
              <w:ind w:left="105" w:leftChars="50" w:right="105" w:rightChars="50" w:firstLine="360" w:firstLineChars="200"/>
              <w:rPr>
                <w:rFonts w:hint="eastAsia" w:ascii="宋体" w:hAnsi="宋体"/>
                <w:sz w:val="18"/>
                <w:szCs w:val="18"/>
              </w:rPr>
            </w:pPr>
            <w:r>
              <w:rPr>
                <w:rFonts w:ascii="宋体" w:hAnsi="宋体"/>
                <w:color w:val="000000"/>
                <w:sz w:val="18"/>
                <w:szCs w:val="18"/>
              </w:rPr>
              <w:t>2.</w:t>
            </w:r>
            <w:r>
              <w:rPr>
                <w:rFonts w:hint="eastAsia" w:ascii="宋体" w:hAnsi="宋体"/>
                <w:sz w:val="18"/>
                <w:szCs w:val="18"/>
              </w:rPr>
              <w:t>投资者可在每个产品开放日的申购时间0</w:t>
            </w:r>
            <w:r>
              <w:rPr>
                <w:rFonts w:ascii="宋体" w:hAnsi="宋体"/>
                <w:sz w:val="18"/>
                <w:szCs w:val="18"/>
              </w:rPr>
              <w:t>9</w:t>
            </w:r>
            <w:r>
              <w:rPr>
                <w:rFonts w:hint="eastAsia" w:ascii="宋体" w:hAnsi="宋体"/>
                <w:sz w:val="18"/>
                <w:szCs w:val="18"/>
              </w:rPr>
              <w:t>:</w:t>
            </w:r>
            <w:r>
              <w:rPr>
                <w:rFonts w:ascii="宋体" w:hAnsi="宋体"/>
                <w:sz w:val="18"/>
                <w:szCs w:val="18"/>
              </w:rPr>
              <w:t>0</w:t>
            </w:r>
            <w:r>
              <w:rPr>
                <w:rFonts w:hint="eastAsia" w:ascii="宋体" w:hAnsi="宋体"/>
                <w:sz w:val="18"/>
                <w:szCs w:val="18"/>
              </w:rPr>
              <w:t>0-17:00进行申购。</w:t>
            </w:r>
          </w:p>
          <w:p>
            <w:pPr>
              <w:ind w:left="105" w:leftChars="50" w:right="105" w:rightChars="50" w:firstLine="360" w:firstLineChars="200"/>
              <w:rPr>
                <w:rFonts w:hint="eastAsia" w:ascii="宋体" w:hAnsi="宋体"/>
                <w:sz w:val="18"/>
                <w:szCs w:val="18"/>
              </w:rPr>
            </w:pPr>
            <w:r>
              <w:rPr>
                <w:rFonts w:ascii="宋体" w:hAnsi="宋体"/>
                <w:sz w:val="18"/>
                <w:szCs w:val="18"/>
              </w:rPr>
              <w:t>3.</w:t>
            </w:r>
            <w:r>
              <w:rPr>
                <w:rFonts w:hint="eastAsia" w:ascii="宋体" w:hAnsi="宋体"/>
                <w:sz w:val="18"/>
                <w:szCs w:val="18"/>
              </w:rPr>
              <w:t>投资者可在每个产品开放日的赎回时间09:</w:t>
            </w:r>
            <w:r>
              <w:rPr>
                <w:rFonts w:ascii="宋体" w:hAnsi="宋体"/>
                <w:sz w:val="18"/>
                <w:szCs w:val="18"/>
              </w:rPr>
              <w:t>00</w:t>
            </w:r>
            <w:r>
              <w:rPr>
                <w:rFonts w:hint="eastAsia" w:ascii="宋体" w:hAnsi="宋体"/>
                <w:sz w:val="18"/>
                <w:szCs w:val="18"/>
              </w:rPr>
              <w:t>-17:00进行赎回</w:t>
            </w:r>
          </w:p>
          <w:p>
            <w:pPr>
              <w:ind w:left="105" w:leftChars="50" w:right="105" w:rightChars="50" w:firstLine="360" w:firstLineChars="200"/>
              <w:rPr>
                <w:rFonts w:hint="eastAsia" w:ascii="宋体" w:hAnsi="宋体"/>
                <w:sz w:val="18"/>
                <w:szCs w:val="18"/>
              </w:rPr>
            </w:pPr>
            <w:r>
              <w:rPr>
                <w:rFonts w:ascii="宋体" w:hAnsi="宋体"/>
                <w:color w:val="000000"/>
                <w:sz w:val="18"/>
                <w:szCs w:val="18"/>
              </w:rPr>
              <w:t>4.</w:t>
            </w:r>
            <w:r>
              <w:rPr>
                <w:rFonts w:hint="eastAsia" w:ascii="宋体" w:hAnsi="宋体"/>
                <w:color w:val="000000"/>
                <w:sz w:val="18"/>
                <w:szCs w:val="18"/>
              </w:rPr>
              <w:t>如遇其他特殊情况，以产品管理人具体公告为准。</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color w:val="000000"/>
                <w:sz w:val="18"/>
                <w:szCs w:val="18"/>
              </w:rPr>
              <w:t>产品认购及确认</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firstLine="360" w:firstLineChars="200"/>
              <w:jc w:val="left"/>
              <w:rPr>
                <w:rFonts w:hint="eastAsia" w:ascii="宋体" w:hAnsi="宋体"/>
                <w:color w:val="000000"/>
                <w:sz w:val="18"/>
                <w:szCs w:val="18"/>
              </w:rPr>
            </w:pPr>
            <w:r>
              <w:rPr>
                <w:rFonts w:hint="eastAsia" w:ascii="宋体" w:hAnsi="宋体"/>
                <w:color w:val="000000"/>
                <w:sz w:val="18"/>
                <w:szCs w:val="18"/>
              </w:rPr>
              <w:t>1.本产品以金额购买。</w:t>
            </w:r>
          </w:p>
          <w:p>
            <w:pPr>
              <w:ind w:left="105" w:leftChars="50" w:right="105" w:rightChars="50" w:firstLine="360" w:firstLineChars="200"/>
              <w:jc w:val="left"/>
              <w:rPr>
                <w:rFonts w:hint="eastAsia" w:ascii="宋体" w:hAnsi="宋体"/>
                <w:color w:val="000000"/>
                <w:sz w:val="18"/>
                <w:szCs w:val="18"/>
              </w:rPr>
            </w:pPr>
            <w:r>
              <w:rPr>
                <w:rFonts w:hint="eastAsia" w:ascii="宋体" w:hAnsi="宋体"/>
                <w:color w:val="000000"/>
                <w:sz w:val="18"/>
                <w:szCs w:val="18"/>
              </w:rPr>
              <w:t>2.本产品在成立日对认购申请的有效性进行确认。</w:t>
            </w:r>
          </w:p>
          <w:p>
            <w:pPr>
              <w:ind w:left="105" w:leftChars="50" w:right="105" w:rightChars="50" w:firstLine="360" w:firstLineChars="200"/>
              <w:jc w:val="left"/>
              <w:rPr>
                <w:rFonts w:hint="eastAsia" w:ascii="宋体" w:hAnsi="宋体"/>
                <w:color w:val="000000"/>
                <w:sz w:val="18"/>
                <w:szCs w:val="18"/>
              </w:rPr>
            </w:pPr>
            <w:r>
              <w:rPr>
                <w:rFonts w:hint="eastAsia" w:ascii="宋体" w:hAnsi="宋体"/>
                <w:color w:val="000000"/>
                <w:sz w:val="18"/>
                <w:szCs w:val="18"/>
              </w:rPr>
              <w:t>3.认购份额＝认购金额/初始单位面值</w:t>
            </w:r>
          </w:p>
          <w:p>
            <w:pPr>
              <w:ind w:left="105" w:leftChars="50" w:right="105" w:rightChars="50" w:firstLine="360" w:firstLineChars="200"/>
              <w:rPr>
                <w:rFonts w:hint="eastAsia" w:ascii="宋体" w:hAnsi="宋体"/>
                <w:sz w:val="18"/>
                <w:szCs w:val="18"/>
              </w:rPr>
            </w:pPr>
            <w:r>
              <w:rPr>
                <w:rFonts w:hint="eastAsia" w:ascii="宋体" w:hAnsi="宋体"/>
                <w:color w:val="000000"/>
                <w:sz w:val="18"/>
                <w:szCs w:val="18"/>
              </w:rPr>
              <w:t>初始单位面值=1.000000元/份</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产品申购及确认</w:t>
            </w:r>
          </w:p>
          <w:p>
            <w:pPr>
              <w:jc w:val="center"/>
              <w:rPr>
                <w:rFonts w:hint="eastAsia" w:ascii="宋体" w:hAnsi="宋体"/>
                <w:sz w:val="18"/>
                <w:szCs w:val="18"/>
              </w:rPr>
            </w:pPr>
            <w:r>
              <w:rPr>
                <w:rFonts w:hint="eastAsia" w:ascii="宋体" w:hAnsi="宋体"/>
                <w:sz w:val="18"/>
                <w:szCs w:val="18"/>
              </w:rPr>
              <w:t>（T</w:t>
            </w:r>
            <w:r>
              <w:rPr>
                <w:rFonts w:ascii="宋体" w:hAnsi="宋体"/>
                <w:sz w:val="18"/>
                <w:szCs w:val="18"/>
              </w:rPr>
              <w:t>+1</w:t>
            </w:r>
            <w:r>
              <w:rPr>
                <w:rFonts w:hint="eastAsia" w:ascii="宋体" w:hAnsi="宋体"/>
                <w:sz w:val="18"/>
                <w:szCs w:val="18"/>
              </w:rPr>
              <w:t>日）</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89" w:rightChars="90" w:firstLine="360" w:firstLineChars="200"/>
              <w:rPr>
                <w:rFonts w:hint="eastAsia"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本产品以金额购买。</w:t>
            </w:r>
          </w:p>
          <w:p>
            <w:pPr>
              <w:ind w:right="189" w:rightChars="90" w:firstLine="360" w:firstLineChars="200"/>
              <w:rPr>
                <w:rFonts w:hint="eastAsia" w:ascii="宋体" w:hAnsi="宋体"/>
                <w:sz w:val="18"/>
                <w:szCs w:val="18"/>
              </w:rPr>
            </w:pPr>
            <w:r>
              <w:rPr>
                <w:rFonts w:ascii="宋体" w:hAnsi="宋体"/>
                <w:color w:val="000000"/>
                <w:sz w:val="18"/>
                <w:szCs w:val="18"/>
              </w:rPr>
              <w:t>2.</w:t>
            </w:r>
            <w:r>
              <w:rPr>
                <w:rFonts w:ascii="宋体" w:hAnsi="宋体"/>
                <w:sz w:val="18"/>
                <w:szCs w:val="18"/>
              </w:rPr>
              <w:t>产品存续期内，</w:t>
            </w:r>
            <w:r>
              <w:rPr>
                <w:rFonts w:hint="eastAsia" w:ascii="宋体" w:hAnsi="宋体"/>
                <w:sz w:val="18"/>
                <w:szCs w:val="18"/>
              </w:rPr>
              <w:t>投资者可在开放日的申购时间内提出申购申请，也可</w:t>
            </w:r>
            <w:r>
              <w:rPr>
                <w:rFonts w:hint="eastAsia" w:ascii="宋体" w:hAnsi="宋体"/>
                <w:color w:val="000000"/>
                <w:sz w:val="18"/>
                <w:szCs w:val="18"/>
              </w:rPr>
              <w:t>撤销当日的申购申请</w:t>
            </w:r>
            <w:r>
              <w:rPr>
                <w:rFonts w:hint="eastAsia" w:ascii="宋体" w:hAnsi="宋体"/>
                <w:sz w:val="18"/>
                <w:szCs w:val="18"/>
              </w:rPr>
              <w:t>。</w:t>
            </w:r>
          </w:p>
          <w:p>
            <w:pPr>
              <w:ind w:right="189" w:rightChars="90" w:firstLine="360" w:firstLineChars="200"/>
              <w:rPr>
                <w:rFonts w:hint="eastAsia" w:ascii="宋体" w:hAnsi="宋体"/>
                <w:sz w:val="18"/>
                <w:szCs w:val="18"/>
              </w:rPr>
            </w:pPr>
            <w:r>
              <w:rPr>
                <w:rFonts w:hint="eastAsia" w:ascii="宋体" w:hAnsi="宋体"/>
                <w:sz w:val="18"/>
                <w:szCs w:val="18"/>
              </w:rPr>
              <w:t>申购份额</w:t>
            </w:r>
            <w:r>
              <w:rPr>
                <w:rFonts w:ascii="宋体" w:hAnsi="宋体"/>
                <w:sz w:val="18"/>
                <w:szCs w:val="18"/>
              </w:rPr>
              <w:t>=申购金额</w:t>
            </w:r>
            <w:r>
              <w:rPr>
                <w:rFonts w:hint="eastAsia" w:ascii="宋体" w:hAnsi="宋体"/>
                <w:color w:val="000000"/>
                <w:sz w:val="18"/>
                <w:szCs w:val="18"/>
              </w:rPr>
              <w:t>/</w:t>
            </w:r>
            <w:r>
              <w:rPr>
                <w:rFonts w:ascii="宋体" w:hAnsi="宋体"/>
                <w:color w:val="000000"/>
                <w:sz w:val="18"/>
                <w:szCs w:val="18"/>
              </w:rPr>
              <w:t xml:space="preserve"> </w:t>
            </w:r>
            <w:r>
              <w:rPr>
                <w:rFonts w:ascii="宋体" w:hAnsi="宋体"/>
                <w:sz w:val="18"/>
                <w:szCs w:val="18"/>
              </w:rPr>
              <w:t>1</w:t>
            </w:r>
            <w:r>
              <w:rPr>
                <w:rFonts w:hint="eastAsia" w:ascii="宋体" w:hAnsi="宋体"/>
                <w:sz w:val="18"/>
                <w:szCs w:val="18"/>
              </w:rPr>
              <w:t>元</w:t>
            </w:r>
            <w:r>
              <w:rPr>
                <w:rFonts w:ascii="宋体" w:hAnsi="宋体"/>
                <w:sz w:val="18"/>
                <w:szCs w:val="18"/>
              </w:rPr>
              <w:t>/份</w:t>
            </w:r>
            <w:r>
              <w:rPr>
                <w:rFonts w:hint="eastAsia" w:ascii="宋体" w:hAnsi="宋体"/>
                <w:sz w:val="18"/>
                <w:szCs w:val="18"/>
              </w:rPr>
              <w:t>。</w:t>
            </w:r>
          </w:p>
          <w:p>
            <w:pPr>
              <w:ind w:right="189" w:rightChars="90" w:firstLine="360" w:firstLineChars="200"/>
              <w:rPr>
                <w:rFonts w:hint="eastAsia" w:ascii="宋体" w:hAnsi="宋体"/>
                <w:sz w:val="18"/>
                <w:szCs w:val="18"/>
              </w:rPr>
            </w:pPr>
            <w:r>
              <w:rPr>
                <w:rFonts w:hint="eastAsia" w:ascii="宋体" w:hAnsi="宋体"/>
                <w:color w:val="000000"/>
                <w:sz w:val="18"/>
                <w:szCs w:val="18"/>
              </w:rPr>
              <w:t>3.产品管理人于申购开放日后第一个工作日（T+1日）对申购的有效性进行确认。</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产品赎回及确认</w:t>
            </w:r>
          </w:p>
          <w:p>
            <w:pPr>
              <w:adjustRightInd w:val="0"/>
              <w:snapToGrid w:val="0"/>
              <w:jc w:val="center"/>
              <w:rPr>
                <w:rFonts w:hint="eastAsia" w:ascii="宋体" w:hAnsi="宋体"/>
                <w:color w:val="000000"/>
                <w:sz w:val="18"/>
                <w:szCs w:val="18"/>
              </w:rPr>
            </w:pPr>
            <w:r>
              <w:rPr>
                <w:rFonts w:hint="eastAsia" w:ascii="宋体" w:hAnsi="宋体"/>
                <w:sz w:val="18"/>
                <w:szCs w:val="18"/>
              </w:rPr>
              <w:t>（T</w:t>
            </w:r>
            <w:r>
              <w:rPr>
                <w:rFonts w:ascii="宋体" w:hAnsi="宋体"/>
                <w:sz w:val="18"/>
                <w:szCs w:val="18"/>
              </w:rPr>
              <w:t>+1</w:t>
            </w:r>
            <w:r>
              <w:rPr>
                <w:rFonts w:hint="eastAsia" w:ascii="宋体" w:hAnsi="宋体"/>
                <w:sz w:val="18"/>
                <w:szCs w:val="18"/>
              </w:rPr>
              <w:t>日）</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firstLine="360" w:firstLineChars="200"/>
              <w:rPr>
                <w:rFonts w:hint="eastAsia"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产品以份额赎回，赎回遵循“先进先出”原则。</w:t>
            </w:r>
          </w:p>
          <w:p>
            <w:pPr>
              <w:ind w:left="105" w:leftChars="50" w:right="105" w:rightChars="50" w:firstLine="360" w:firstLineChars="200"/>
              <w:rPr>
                <w:rFonts w:hint="eastAsia" w:ascii="宋体" w:hAnsi="宋体"/>
                <w:sz w:val="18"/>
                <w:szCs w:val="18"/>
              </w:rPr>
            </w:pPr>
            <w:r>
              <w:rPr>
                <w:rFonts w:ascii="宋体" w:hAnsi="宋体"/>
                <w:sz w:val="18"/>
                <w:szCs w:val="18"/>
              </w:rPr>
              <w:t>2.产品存续期内，</w:t>
            </w:r>
            <w:r>
              <w:rPr>
                <w:rFonts w:hint="eastAsia" w:ascii="宋体" w:hAnsi="宋体"/>
                <w:sz w:val="18"/>
                <w:szCs w:val="18"/>
              </w:rPr>
              <w:t>投资者可在开放日的赎回时间内提出赎回申请，也可</w:t>
            </w:r>
            <w:r>
              <w:rPr>
                <w:rFonts w:hint="eastAsia" w:ascii="宋体" w:hAnsi="宋体"/>
                <w:color w:val="000000"/>
                <w:sz w:val="18"/>
                <w:szCs w:val="18"/>
              </w:rPr>
              <w:t>撤销当日的赎回申请。</w:t>
            </w:r>
          </w:p>
          <w:p>
            <w:pPr>
              <w:ind w:left="105" w:leftChars="50" w:right="105" w:rightChars="50" w:firstLine="360" w:firstLineChars="200"/>
              <w:rPr>
                <w:rFonts w:hint="eastAsia" w:ascii="宋体" w:hAnsi="宋体"/>
                <w:color w:val="000000"/>
                <w:sz w:val="18"/>
                <w:szCs w:val="18"/>
              </w:rPr>
            </w:pPr>
            <w:r>
              <w:rPr>
                <w:rFonts w:hint="eastAsia" w:ascii="宋体" w:hAnsi="宋体"/>
                <w:color w:val="000000"/>
                <w:sz w:val="18"/>
                <w:szCs w:val="18"/>
              </w:rPr>
              <w:t>如投资者发起全额赎回，赎回金额＝赎回份额×1元/份+赎回份额对应的未付收益。</w:t>
            </w:r>
          </w:p>
          <w:p>
            <w:pPr>
              <w:ind w:left="105" w:leftChars="50" w:right="105" w:rightChars="50" w:firstLine="360" w:firstLineChars="200"/>
              <w:rPr>
                <w:rFonts w:hint="eastAsia" w:ascii="宋体" w:hAnsi="宋体"/>
                <w:color w:val="000000"/>
                <w:sz w:val="18"/>
                <w:szCs w:val="18"/>
              </w:rPr>
            </w:pPr>
            <w:r>
              <w:rPr>
                <w:rFonts w:hint="eastAsia" w:ascii="宋体" w:hAnsi="宋体"/>
                <w:color w:val="000000"/>
                <w:sz w:val="18"/>
                <w:szCs w:val="18"/>
              </w:rPr>
              <w:t>如投资者发起部分赎回，赎回金额＝赎回份额×1元/份。赎回份额对应的未付收益将于T</w:t>
            </w:r>
            <w:r>
              <w:rPr>
                <w:rFonts w:ascii="宋体" w:hAnsi="宋体"/>
                <w:color w:val="000000"/>
                <w:sz w:val="18"/>
                <w:szCs w:val="18"/>
              </w:rPr>
              <w:t>+1</w:t>
            </w:r>
            <w:r>
              <w:rPr>
                <w:rFonts w:hint="eastAsia" w:ascii="宋体" w:hAnsi="宋体"/>
                <w:color w:val="000000"/>
                <w:sz w:val="18"/>
                <w:szCs w:val="18"/>
              </w:rPr>
              <w:t>日结转至投资者理财账户。</w:t>
            </w:r>
          </w:p>
          <w:p>
            <w:pPr>
              <w:ind w:left="105" w:leftChars="50" w:right="105" w:rightChars="50" w:firstLine="360" w:firstLineChars="200"/>
              <w:rPr>
                <w:rFonts w:hint="eastAsia" w:ascii="宋体" w:hAnsi="宋体"/>
                <w:color w:val="000000"/>
                <w:sz w:val="18"/>
                <w:szCs w:val="18"/>
              </w:rPr>
            </w:pPr>
            <w:r>
              <w:rPr>
                <w:rFonts w:hint="eastAsia" w:ascii="宋体" w:hAnsi="宋体"/>
                <w:color w:val="000000"/>
                <w:sz w:val="18"/>
                <w:szCs w:val="18"/>
              </w:rPr>
              <w:t>3.产品管理人于赎回开放日后第一个工作日（T+1日）对赎回的有效性进行确认，并完成赎回资金到账。</w:t>
            </w:r>
          </w:p>
          <w:p>
            <w:pPr>
              <w:ind w:left="105" w:leftChars="50" w:right="105" w:rightChars="50" w:firstLine="360" w:firstLineChars="200"/>
              <w:rPr>
                <w:rFonts w:hint="eastAsia" w:ascii="宋体" w:hAnsi="宋体"/>
                <w:color w:val="000000"/>
                <w:sz w:val="18"/>
                <w:szCs w:val="18"/>
              </w:rPr>
            </w:pPr>
            <w:r>
              <w:rPr>
                <w:rFonts w:ascii="宋体" w:hAnsi="宋体"/>
                <w:color w:val="000000"/>
                <w:sz w:val="18"/>
                <w:szCs w:val="18"/>
              </w:rPr>
              <w:t>4</w:t>
            </w:r>
            <w:r>
              <w:rPr>
                <w:rFonts w:hint="eastAsia" w:ascii="宋体" w:hAnsi="宋体"/>
                <w:color w:val="000000"/>
                <w:sz w:val="18"/>
                <w:szCs w:val="18"/>
              </w:rPr>
              <w:t>.投资者在存续期内通过赎回在赎回确认日退出本产品，未赎回的份额将继续参与本产品运作。</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产品份额净值</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89" w:rightChars="90" w:firstLine="360" w:firstLineChars="200"/>
              <w:rPr>
                <w:rFonts w:hint="eastAsia" w:ascii="宋体" w:hAnsi="宋体"/>
                <w:sz w:val="18"/>
                <w:szCs w:val="18"/>
              </w:rPr>
            </w:pPr>
            <w:r>
              <w:rPr>
                <w:rFonts w:hint="eastAsia" w:ascii="宋体" w:hAnsi="宋体"/>
                <w:sz w:val="18"/>
                <w:szCs w:val="18"/>
              </w:rPr>
              <w:t>产品存续期内，产品的份额净值、份额累计净值为1元/份。每个开放日的认购价格和赎回价格均为1元/份。</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收益分配</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firstLine="360" w:firstLineChars="200"/>
              <w:rPr>
                <w:rFonts w:hint="eastAsia" w:ascii="宋体" w:hAnsi="宋体"/>
                <w:sz w:val="18"/>
                <w:szCs w:val="18"/>
              </w:rPr>
            </w:pPr>
            <w:r>
              <w:rPr>
                <w:rFonts w:hint="eastAsia" w:ascii="宋体" w:hAnsi="宋体"/>
                <w:sz w:val="18"/>
                <w:szCs w:val="18"/>
              </w:rPr>
              <w:t>本产品每个开放日（T日）将上一开放日（T-1日）和后续非开放日实现的净收益通过分红转份额方式进行分配，并将该部分收益按日结转到投资者理财账户，增加投资者理财账户份额。投资者当日收益分配的计算保留到小数点后2位，小数点后第3位及之后数值舍去。因舍位产生的产品净收益余额进行再次分配，直到分完为止。</w:t>
            </w:r>
          </w:p>
          <w:p>
            <w:pPr>
              <w:ind w:left="105" w:leftChars="50" w:right="105" w:rightChars="50" w:firstLine="360" w:firstLineChars="200"/>
              <w:jc w:val="left"/>
              <w:rPr>
                <w:rFonts w:hint="eastAsia" w:ascii="宋体" w:hAnsi="宋体"/>
                <w:sz w:val="18"/>
                <w:szCs w:val="18"/>
              </w:rPr>
            </w:pPr>
            <w:r>
              <w:rPr>
                <w:rFonts w:ascii="宋体" w:hAnsi="宋体" w:cs="宋体"/>
                <w:sz w:val="18"/>
                <w:szCs w:val="18"/>
              </w:rPr>
              <w:t>详见本产品说明书</w:t>
            </w:r>
            <w:r>
              <w:rPr>
                <w:rFonts w:hint="eastAsia" w:ascii="宋体" w:hAnsi="宋体" w:cs="宋体"/>
                <w:sz w:val="18"/>
                <w:szCs w:val="18"/>
              </w:rPr>
              <w:t>“五、</w:t>
            </w:r>
            <w:r>
              <w:rPr>
                <w:rFonts w:ascii="宋体" w:hAnsi="宋体" w:cs="宋体"/>
                <w:sz w:val="18"/>
                <w:szCs w:val="18"/>
              </w:rPr>
              <w:t>产品收益与费用、税收说明</w:t>
            </w:r>
            <w:r>
              <w:rPr>
                <w:rFonts w:hint="eastAsia" w:ascii="宋体" w:hAnsi="宋体" w:cs="宋体"/>
                <w:sz w:val="18"/>
                <w:szCs w:val="18"/>
              </w:rPr>
              <w:t>”</w:t>
            </w:r>
            <w:r>
              <w:rPr>
                <w:rFonts w:ascii="宋体" w:hAnsi="宋体" w:cs="宋体"/>
                <w:sz w:val="18"/>
                <w:szCs w:val="18"/>
              </w:rPr>
              <w:t>。</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ascii="宋体" w:hAnsi="宋体"/>
                <w:sz w:val="18"/>
                <w:szCs w:val="18"/>
              </w:rPr>
              <w:t>万份收益</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pStyle w:val="22"/>
              <w:ind w:left="105" w:leftChars="50" w:right="105" w:rightChars="50" w:firstLine="360" w:firstLineChars="200"/>
              <w:jc w:val="both"/>
              <w:rPr>
                <w:rFonts w:hint="eastAsia" w:ascii="宋体" w:hAnsi="宋体" w:eastAsia="宋体" w:cs="Times New Roman"/>
                <w:color w:val="auto"/>
                <w:sz w:val="18"/>
                <w:szCs w:val="18"/>
              </w:rPr>
            </w:pPr>
            <w:r>
              <w:rPr>
                <w:rFonts w:ascii="宋体" w:hAnsi="宋体" w:eastAsia="宋体" w:cs="Times New Roman"/>
                <w:color w:val="auto"/>
                <w:sz w:val="18"/>
                <w:szCs w:val="18"/>
              </w:rPr>
              <w:t>指本理财产品每万份产品份额的单日已实现收益，计算公式如下：</w:t>
            </w:r>
          </w:p>
          <w:p>
            <w:pPr>
              <w:pStyle w:val="22"/>
              <w:ind w:left="105" w:leftChars="50" w:right="105" w:rightChars="50" w:firstLine="360" w:firstLineChars="200"/>
              <w:jc w:val="both"/>
              <w:rPr>
                <w:rFonts w:hint="eastAsia" w:ascii="宋体" w:hAnsi="宋体" w:eastAsia="宋体" w:cs="Times New Roman"/>
                <w:color w:val="auto"/>
                <w:sz w:val="18"/>
                <w:szCs w:val="18"/>
              </w:rPr>
            </w:pPr>
            <w:r>
              <w:rPr>
                <w:rFonts w:ascii="宋体" w:hAnsi="宋体" w:eastAsia="宋体" w:cs="Times New Roman"/>
                <w:color w:val="auto"/>
                <w:sz w:val="18"/>
                <w:szCs w:val="18"/>
              </w:rPr>
              <w:t>万份收益=当日理财产品份额已实现</w:t>
            </w:r>
            <w:r>
              <w:rPr>
                <w:rFonts w:hint="eastAsia" w:ascii="宋体" w:hAnsi="宋体" w:eastAsia="宋体" w:cs="Times New Roman"/>
                <w:color w:val="auto"/>
                <w:sz w:val="18"/>
                <w:szCs w:val="18"/>
              </w:rPr>
              <w:t>净</w:t>
            </w:r>
            <w:r>
              <w:rPr>
                <w:rFonts w:ascii="宋体" w:hAnsi="宋体" w:eastAsia="宋体" w:cs="Times New Roman"/>
                <w:color w:val="auto"/>
                <w:sz w:val="18"/>
                <w:szCs w:val="18"/>
              </w:rPr>
              <w:t>收益/当日理财产品份额×10000</w:t>
            </w:r>
          </w:p>
          <w:p>
            <w:pPr>
              <w:ind w:left="105" w:leftChars="50" w:right="105" w:rightChars="50" w:firstLine="360" w:firstLineChars="200"/>
              <w:jc w:val="left"/>
              <w:rPr>
                <w:rFonts w:hint="eastAsia" w:ascii="宋体" w:hAnsi="宋体"/>
                <w:sz w:val="18"/>
                <w:szCs w:val="18"/>
              </w:rPr>
            </w:pPr>
            <w:r>
              <w:rPr>
                <w:rFonts w:hint="eastAsia" w:ascii="宋体" w:hAnsi="宋体"/>
                <w:sz w:val="18"/>
                <w:szCs w:val="18"/>
              </w:rPr>
              <w:t>万份收益采取舍位方式保留至小数点后4位，每个产品开放日（</w:t>
            </w:r>
            <w:r>
              <w:rPr>
                <w:rFonts w:ascii="宋体" w:hAnsi="宋体"/>
                <w:sz w:val="18"/>
                <w:szCs w:val="18"/>
              </w:rPr>
              <w:t>T日）公布</w:t>
            </w:r>
            <w:r>
              <w:rPr>
                <w:rFonts w:hint="eastAsia" w:ascii="宋体" w:hAnsi="宋体"/>
                <w:sz w:val="18"/>
                <w:szCs w:val="18"/>
              </w:rPr>
              <w:t>上一开放日（</w:t>
            </w:r>
            <w:r>
              <w:rPr>
                <w:rFonts w:ascii="宋体" w:hAnsi="宋体"/>
                <w:sz w:val="18"/>
                <w:szCs w:val="18"/>
              </w:rPr>
              <w:t>T-1日）</w:t>
            </w:r>
            <w:r>
              <w:rPr>
                <w:rFonts w:hint="eastAsia" w:ascii="宋体" w:hAnsi="宋体"/>
                <w:sz w:val="18"/>
                <w:szCs w:val="18"/>
              </w:rPr>
              <w:t>和后续非开放日产品的万份收益。</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color w:val="000000"/>
                <w:sz w:val="18"/>
                <w:szCs w:val="18"/>
              </w:rPr>
              <w:t>七日年化收益率</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firstLine="360" w:firstLineChars="200"/>
              <w:jc w:val="left"/>
              <w:rPr>
                <w:rFonts w:hint="eastAsia" w:ascii="宋体" w:hAnsi="宋体"/>
                <w:sz w:val="18"/>
                <w:szCs w:val="18"/>
              </w:rPr>
            </w:pPr>
            <w:r>
              <w:rPr>
                <w:rFonts w:hint="eastAsia" w:ascii="宋体" w:hAnsi="宋体"/>
                <w:sz w:val="18"/>
                <w:szCs w:val="18"/>
              </w:rPr>
              <w:t>指以本理财产品过去七个自然日扣除相关费用后的净收益折合成的年化收益率。每个产品开放日（T日）公布上一开放日（T-1日）和后续非开放日产品七日年化收益率。若产品运作期不满七日，则以实际日收益率折算成年化收益率。本产品为净值型产品，其业绩表现随市场波动具有不确定性。</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购买金额</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5" w:firstLineChars="92"/>
              <w:jc w:val="center"/>
              <w:rPr>
                <w:rFonts w:hint="eastAsia" w:ascii="宋体" w:hAnsi="宋体"/>
                <w:sz w:val="18"/>
                <w:szCs w:val="18"/>
              </w:rPr>
            </w:pPr>
            <w:r>
              <w:rPr>
                <w:rFonts w:hint="eastAsia" w:ascii="宋体" w:hAnsi="宋体"/>
                <w:sz w:val="18"/>
                <w:szCs w:val="18"/>
              </w:rPr>
              <w:t>1元人民币起购，以0</w:t>
            </w:r>
            <w:r>
              <w:rPr>
                <w:rFonts w:ascii="宋体" w:hAnsi="宋体"/>
                <w:sz w:val="18"/>
                <w:szCs w:val="18"/>
              </w:rPr>
              <w:t>.0</w:t>
            </w:r>
            <w:r>
              <w:rPr>
                <w:rFonts w:hint="eastAsia" w:ascii="宋体" w:hAnsi="宋体"/>
                <w:sz w:val="18"/>
                <w:szCs w:val="18"/>
              </w:rPr>
              <w:t>1元人民币的整数倍递增</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ascii="宋体" w:hAnsi="宋体"/>
                <w:sz w:val="18"/>
                <w:szCs w:val="18"/>
              </w:rPr>
              <w:t>赎回份额</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64" w:leftChars="78" w:right="189" w:rightChars="90" w:firstLine="165" w:firstLineChars="92"/>
              <w:jc w:val="center"/>
              <w:rPr>
                <w:rFonts w:hint="eastAsia" w:ascii="宋体" w:hAnsi="宋体"/>
                <w:sz w:val="18"/>
                <w:szCs w:val="18"/>
              </w:rPr>
            </w:pPr>
            <w:r>
              <w:rPr>
                <w:rFonts w:ascii="宋体" w:hAnsi="宋体"/>
                <w:sz w:val="18"/>
                <w:szCs w:val="18"/>
              </w:rPr>
              <w:t>0.01份起，以</w:t>
            </w:r>
            <w:r>
              <w:rPr>
                <w:rFonts w:hint="eastAsia" w:ascii="宋体" w:hAnsi="宋体"/>
                <w:sz w:val="18"/>
                <w:szCs w:val="18"/>
              </w:rPr>
              <w:t>0</w:t>
            </w:r>
            <w:r>
              <w:rPr>
                <w:rFonts w:ascii="宋体" w:hAnsi="宋体"/>
                <w:sz w:val="18"/>
                <w:szCs w:val="18"/>
              </w:rPr>
              <w:t>.01份整数</w:t>
            </w:r>
            <w:r>
              <w:rPr>
                <w:rFonts w:hint="eastAsia" w:ascii="宋体" w:hAnsi="宋体"/>
                <w:sz w:val="18"/>
                <w:szCs w:val="18"/>
              </w:rPr>
              <w:t>倍递增</w:t>
            </w:r>
          </w:p>
        </w:tc>
      </w:tr>
      <w:tr>
        <w:tblPrEx>
          <w:tblCellMar>
            <w:top w:w="0" w:type="dxa"/>
            <w:left w:w="0" w:type="dxa"/>
            <w:bottom w:w="0" w:type="dxa"/>
            <w:right w:w="0" w:type="dxa"/>
          </w:tblCellMar>
        </w:tblPrEx>
        <w:trPr>
          <w:trHeight w:val="269"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理财账户最低持有份额</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89" w:rightChars="90" w:firstLine="360" w:firstLineChars="200"/>
              <w:jc w:val="center"/>
              <w:rPr>
                <w:rFonts w:hint="eastAsia" w:ascii="宋体" w:hAnsi="宋体"/>
                <w:sz w:val="18"/>
                <w:szCs w:val="18"/>
              </w:rPr>
            </w:pPr>
            <w:r>
              <w:rPr>
                <w:rFonts w:hint="eastAsia" w:ascii="宋体" w:hAnsi="宋体"/>
                <w:sz w:val="18"/>
                <w:szCs w:val="18"/>
              </w:rPr>
              <w:t>0.01份</w:t>
            </w:r>
          </w:p>
          <w:p>
            <w:pPr>
              <w:ind w:firstLine="360" w:firstLineChars="200"/>
              <w:rPr>
                <w:rFonts w:hint="eastAsia" w:ascii="宋体" w:hAnsi="宋体"/>
                <w:sz w:val="18"/>
                <w:szCs w:val="18"/>
              </w:rPr>
            </w:pPr>
            <w:r>
              <w:rPr>
                <w:rFonts w:hint="eastAsia" w:ascii="宋体" w:hAnsi="宋体"/>
                <w:sz w:val="18"/>
                <w:szCs w:val="18"/>
              </w:rPr>
              <w:t>（若投资者对产品持有份额不足0.01份时，产品管理人有权将投资者产品剩余份额一次性全部赎回）</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销售区域</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89" w:rightChars="90" w:firstLine="360" w:firstLineChars="200"/>
              <w:jc w:val="center"/>
              <w:rPr>
                <w:rFonts w:hint="eastAsia" w:ascii="宋体" w:hAnsi="宋体"/>
                <w:sz w:val="18"/>
                <w:szCs w:val="18"/>
              </w:rPr>
            </w:pPr>
            <w:r>
              <w:rPr>
                <w:rFonts w:hint="eastAsia" w:ascii="宋体" w:hAnsi="宋体"/>
                <w:sz w:val="18"/>
                <w:szCs w:val="18"/>
              </w:rPr>
              <w:t>本产品在全国范围销售</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购买渠道</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89" w:rightChars="90" w:firstLine="360" w:firstLineChars="200"/>
              <w:rPr>
                <w:rFonts w:hint="eastAsia" w:ascii="宋体" w:hAnsi="宋体"/>
                <w:b/>
                <w:sz w:val="18"/>
                <w:szCs w:val="18"/>
              </w:rPr>
            </w:pPr>
            <w:r>
              <w:rPr>
                <w:rFonts w:hint="eastAsia" w:ascii="宋体" w:hAnsi="宋体"/>
                <w:color w:val="000000"/>
                <w:sz w:val="18"/>
                <w:szCs w:val="18"/>
              </w:rPr>
              <w:t>投资者可通过苏州银行</w:t>
            </w:r>
            <w:r>
              <w:rPr>
                <w:rFonts w:hint="eastAsia" w:ascii="宋体" w:hAnsi="宋体"/>
                <w:color w:val="000000"/>
                <w:sz w:val="18"/>
                <w:szCs w:val="18"/>
                <w:lang w:val="en-US" w:eastAsia="zh-CN"/>
              </w:rPr>
              <w:t>、广发银行</w:t>
            </w:r>
            <w:r>
              <w:rPr>
                <w:rFonts w:hint="eastAsia" w:ascii="宋体" w:hAnsi="宋体"/>
                <w:color w:val="000000"/>
                <w:sz w:val="18"/>
                <w:szCs w:val="18"/>
              </w:rPr>
              <w:t>手机银行等渠道购买本产品。</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ascii="宋体" w:hAnsi="宋体" w:cs="宋体"/>
                <w:sz w:val="18"/>
                <w:szCs w:val="18"/>
              </w:rPr>
              <w:t>产品费用</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05" w:rightChars="50" w:firstLine="360" w:firstLineChars="200"/>
              <w:rPr>
                <w:rFonts w:hint="eastAsia" w:ascii="宋体" w:hAnsi="宋体" w:cs="宋体"/>
                <w:sz w:val="18"/>
                <w:szCs w:val="18"/>
              </w:rPr>
            </w:pPr>
            <w:r>
              <w:rPr>
                <w:rFonts w:ascii="宋体" w:hAnsi="宋体" w:cs="宋体"/>
                <w:sz w:val="18"/>
                <w:szCs w:val="18"/>
              </w:rPr>
              <w:t>本产品收取的费用为销售费、管理费、托管费</w:t>
            </w:r>
            <w:r>
              <w:rPr>
                <w:rFonts w:hint="eastAsia" w:ascii="宋体" w:hAnsi="宋体" w:cs="宋体"/>
                <w:sz w:val="18"/>
                <w:szCs w:val="18"/>
              </w:rPr>
              <w:t>。如投资者赎回触发强制赎回费用收费场景，则收取强制赎回费用</w:t>
            </w:r>
            <w:r>
              <w:rPr>
                <w:rFonts w:ascii="宋体" w:hAnsi="宋体" w:cs="宋体"/>
                <w:sz w:val="18"/>
                <w:szCs w:val="18"/>
              </w:rPr>
              <w:t>。</w:t>
            </w:r>
          </w:p>
          <w:p>
            <w:pPr>
              <w:ind w:right="189" w:rightChars="90" w:firstLine="360" w:firstLineChars="200"/>
              <w:rPr>
                <w:rFonts w:hint="eastAsia" w:ascii="宋体" w:hAnsi="宋体"/>
                <w:sz w:val="18"/>
                <w:szCs w:val="18"/>
              </w:rPr>
            </w:pPr>
            <w:r>
              <w:rPr>
                <w:rFonts w:ascii="宋体" w:hAnsi="宋体" w:cs="宋体"/>
                <w:sz w:val="18"/>
                <w:szCs w:val="18"/>
              </w:rPr>
              <w:t>详见本产品说明书</w:t>
            </w:r>
            <w:r>
              <w:rPr>
                <w:rFonts w:hint="eastAsia" w:ascii="宋体" w:hAnsi="宋体" w:cs="宋体"/>
                <w:sz w:val="18"/>
                <w:szCs w:val="18"/>
              </w:rPr>
              <w:t>“</w:t>
            </w:r>
            <w:r>
              <w:rPr>
                <w:rFonts w:ascii="宋体" w:hAnsi="宋体" w:cs="宋体"/>
                <w:sz w:val="18"/>
                <w:szCs w:val="18"/>
              </w:rPr>
              <w:t>五</w:t>
            </w:r>
            <w:r>
              <w:rPr>
                <w:rFonts w:hint="eastAsia" w:ascii="宋体" w:hAnsi="宋体" w:cs="宋体"/>
                <w:sz w:val="18"/>
                <w:szCs w:val="18"/>
              </w:rPr>
              <w:t>、</w:t>
            </w:r>
            <w:r>
              <w:rPr>
                <w:rFonts w:ascii="宋体" w:hAnsi="宋体" w:cs="宋体"/>
                <w:sz w:val="18"/>
                <w:szCs w:val="18"/>
              </w:rPr>
              <w:t>产品收益与费用、税收说明</w:t>
            </w:r>
            <w:r>
              <w:rPr>
                <w:rFonts w:hint="eastAsia" w:ascii="宋体" w:hAnsi="宋体" w:cs="宋体"/>
                <w:sz w:val="18"/>
                <w:szCs w:val="18"/>
              </w:rPr>
              <w:t>”</w:t>
            </w:r>
            <w:r>
              <w:rPr>
                <w:rFonts w:ascii="宋体" w:hAnsi="宋体" w:cs="宋体"/>
                <w:sz w:val="18"/>
                <w:szCs w:val="18"/>
              </w:rPr>
              <w:t>。</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税款</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89" w:rightChars="90" w:firstLine="360" w:firstLineChars="200"/>
              <w:rPr>
                <w:rFonts w:hint="eastAsia" w:ascii="宋体" w:hAnsi="宋体"/>
                <w:sz w:val="18"/>
                <w:szCs w:val="18"/>
              </w:rPr>
            </w:pPr>
            <w:r>
              <w:rPr>
                <w:rFonts w:hint="eastAsia" w:ascii="宋体" w:hAnsi="宋体"/>
                <w:sz w:val="18"/>
                <w:szCs w:val="18"/>
              </w:rPr>
              <w:t>产品管理人暂不负责代扣代缴投资者购买本产品所得收益应缴纳的各项税款。若相关法律法规、税收政策规定产品管理人应代扣代缴相关税款，产品管理人有权依法履行代扣代缴义务。</w:t>
            </w:r>
          </w:p>
        </w:tc>
      </w:tr>
      <w:tr>
        <w:tblPrEx>
          <w:tblCellMar>
            <w:top w:w="0" w:type="dxa"/>
            <w:left w:w="0" w:type="dxa"/>
            <w:bottom w:w="0" w:type="dxa"/>
            <w:right w:w="0" w:type="dxa"/>
          </w:tblCellMar>
        </w:tblPrEx>
        <w:trPr>
          <w:trHeight w:val="443" w:hRule="atLeast"/>
        </w:trPr>
        <w:tc>
          <w:tcPr>
            <w:tcW w:w="2160"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其他</w:t>
            </w:r>
          </w:p>
        </w:tc>
        <w:tc>
          <w:tcPr>
            <w:tcW w:w="6146" w:type="dxa"/>
            <w:tcBorders>
              <w:top w:val="nil"/>
              <w:left w:val="nil"/>
              <w:bottom w:val="single" w:color="auto" w:sz="4" w:space="0"/>
              <w:right w:val="single" w:color="auto" w:sz="12" w:space="0"/>
            </w:tcBorders>
            <w:tcMar>
              <w:top w:w="15" w:type="dxa"/>
              <w:left w:w="15" w:type="dxa"/>
              <w:bottom w:w="0" w:type="dxa"/>
              <w:right w:w="15" w:type="dxa"/>
            </w:tcMar>
            <w:vAlign w:val="center"/>
          </w:tcPr>
          <w:p>
            <w:pPr>
              <w:ind w:right="189" w:rightChars="90" w:firstLine="360" w:firstLineChars="200"/>
              <w:rPr>
                <w:rFonts w:hint="eastAsia" w:ascii="宋体" w:hAnsi="宋体"/>
                <w:sz w:val="18"/>
                <w:szCs w:val="18"/>
              </w:rPr>
            </w:pPr>
            <w:r>
              <w:rPr>
                <w:rFonts w:hint="eastAsia" w:ascii="宋体" w:hAnsi="宋体"/>
                <w:sz w:val="18"/>
                <w:szCs w:val="18"/>
              </w:rPr>
              <w:t>投资者若购买本产品后欲办理销户或调整理财交易账户等操作，需确保在全部赎回本产品份额后办理。</w:t>
            </w:r>
          </w:p>
        </w:tc>
      </w:tr>
    </w:tbl>
    <w:p>
      <w:pPr>
        <w:ind w:firstLine="360" w:firstLineChars="200"/>
        <w:rPr>
          <w:rFonts w:hint="eastAsia" w:ascii="宋体" w:hAnsi="宋体"/>
          <w:sz w:val="18"/>
          <w:szCs w:val="18"/>
        </w:rPr>
      </w:pPr>
    </w:p>
    <w:p>
      <w:pPr>
        <w:ind w:firstLine="482" w:firstLineChars="200"/>
        <w:outlineLvl w:val="0"/>
        <w:rPr>
          <w:rFonts w:hint="eastAsia" w:ascii="宋体" w:hAnsi="宋体"/>
          <w:b/>
          <w:bCs/>
          <w:sz w:val="24"/>
        </w:rPr>
      </w:pPr>
      <w:r>
        <w:rPr>
          <w:rFonts w:hint="eastAsia" w:ascii="宋体" w:hAnsi="宋体"/>
          <w:b/>
          <w:bCs/>
          <w:sz w:val="24"/>
        </w:rPr>
        <w:t>二、投资管理</w:t>
      </w:r>
    </w:p>
    <w:p>
      <w:pPr>
        <w:ind w:firstLine="361" w:firstLineChars="200"/>
        <w:outlineLvl w:val="1"/>
        <w:rPr>
          <w:rFonts w:hint="eastAsia" w:ascii="宋体" w:hAnsi="宋体"/>
          <w:b/>
          <w:color w:val="000000"/>
          <w:sz w:val="18"/>
          <w:szCs w:val="18"/>
        </w:rPr>
      </w:pPr>
      <w:r>
        <w:rPr>
          <w:rFonts w:hint="eastAsia" w:ascii="宋体" w:hAnsi="宋体"/>
          <w:b/>
          <w:color w:val="000000"/>
          <w:sz w:val="18"/>
          <w:szCs w:val="18"/>
        </w:rPr>
        <w:t>（一）投资范围</w:t>
      </w:r>
    </w:p>
    <w:p>
      <w:pPr>
        <w:ind w:firstLine="360" w:firstLineChars="200"/>
        <w:rPr>
          <w:rFonts w:hint="eastAsia" w:ascii="宋体" w:hAnsi="宋体"/>
          <w:sz w:val="18"/>
          <w:szCs w:val="18"/>
        </w:rPr>
      </w:pPr>
      <w:r>
        <w:rPr>
          <w:rFonts w:hint="eastAsia" w:ascii="宋体" w:hAnsi="宋体"/>
          <w:sz w:val="18"/>
          <w:szCs w:val="18"/>
        </w:rPr>
        <w:t>本产品投资范围具体如下：</w:t>
      </w:r>
    </w:p>
    <w:p>
      <w:pPr>
        <w:ind w:firstLine="360" w:firstLineChars="200"/>
        <w:rPr>
          <w:rFonts w:hint="eastAsia" w:ascii="宋体" w:hAnsi="宋体"/>
          <w:sz w:val="18"/>
          <w:szCs w:val="18"/>
        </w:rPr>
      </w:pPr>
      <w:r>
        <w:rPr>
          <w:rFonts w:hint="eastAsia" w:ascii="宋体" w:hAnsi="宋体"/>
          <w:sz w:val="18"/>
          <w:szCs w:val="18"/>
        </w:rPr>
        <w:t>1.现金；</w:t>
      </w:r>
    </w:p>
    <w:p>
      <w:pPr>
        <w:ind w:firstLine="360" w:firstLineChars="200"/>
        <w:rPr>
          <w:rFonts w:hint="eastAsia" w:ascii="宋体" w:hAnsi="宋体"/>
          <w:sz w:val="18"/>
          <w:szCs w:val="18"/>
        </w:rPr>
      </w:pPr>
      <w:r>
        <w:rPr>
          <w:rFonts w:hint="eastAsia" w:ascii="宋体" w:hAnsi="宋体"/>
          <w:sz w:val="18"/>
          <w:szCs w:val="18"/>
        </w:rPr>
        <w:t>2.期限在1年以内（含1年）的银行存款、债券回购、中央银行票据、同业存单；</w:t>
      </w:r>
    </w:p>
    <w:p>
      <w:pPr>
        <w:ind w:firstLine="360" w:firstLineChars="200"/>
        <w:rPr>
          <w:rFonts w:hint="eastAsia" w:ascii="宋体" w:hAnsi="宋体"/>
          <w:sz w:val="18"/>
          <w:szCs w:val="18"/>
        </w:rPr>
      </w:pPr>
      <w:r>
        <w:rPr>
          <w:rFonts w:hint="eastAsia" w:ascii="宋体" w:hAnsi="宋体"/>
          <w:sz w:val="18"/>
          <w:szCs w:val="18"/>
        </w:rPr>
        <w:t>3.剩余期限在397天以内（含397天）的债券、在银行间市场和证券交易所市场发行的资产支持证券；</w:t>
      </w:r>
    </w:p>
    <w:p>
      <w:pPr>
        <w:ind w:firstLine="360" w:firstLineChars="200"/>
        <w:rPr>
          <w:rFonts w:hint="eastAsia" w:ascii="宋体" w:hAnsi="宋体"/>
          <w:sz w:val="18"/>
          <w:szCs w:val="18"/>
        </w:rPr>
      </w:pPr>
      <w:r>
        <w:rPr>
          <w:rFonts w:hint="eastAsia" w:ascii="宋体" w:hAnsi="宋体"/>
          <w:sz w:val="18"/>
          <w:szCs w:val="18"/>
        </w:rPr>
        <w:t>4.</w:t>
      </w:r>
      <w:r>
        <w:rPr>
          <w:rFonts w:hint="eastAsia" w:ascii="宋体" w:hAnsi="宋体"/>
          <w:sz w:val="18"/>
          <w:szCs w:val="18"/>
          <w:lang w:eastAsia="zh-CN"/>
        </w:rPr>
        <w:t>国务院银行业监督管理机构</w:t>
      </w:r>
      <w:r>
        <w:rPr>
          <w:rFonts w:hint="eastAsia" w:ascii="宋体" w:hAnsi="宋体"/>
          <w:sz w:val="18"/>
          <w:szCs w:val="18"/>
        </w:rPr>
        <w:t>、中国人民银行认可的其他具有良好流动性的货币市场工具；</w:t>
      </w:r>
    </w:p>
    <w:p>
      <w:pPr>
        <w:ind w:firstLine="360" w:firstLineChars="200"/>
        <w:rPr>
          <w:rFonts w:hint="eastAsia" w:ascii="宋体" w:hAnsi="宋体"/>
          <w:sz w:val="18"/>
          <w:szCs w:val="18"/>
        </w:rPr>
      </w:pPr>
      <w:r>
        <w:rPr>
          <w:rFonts w:ascii="宋体" w:hAnsi="宋体"/>
          <w:sz w:val="18"/>
          <w:szCs w:val="18"/>
        </w:rPr>
        <w:t>5.</w:t>
      </w:r>
      <w:r>
        <w:rPr>
          <w:rFonts w:hint="eastAsia" w:ascii="宋体" w:hAnsi="宋体"/>
          <w:sz w:val="18"/>
          <w:szCs w:val="18"/>
        </w:rPr>
        <w:t>其他符合监管要求的资产。</w:t>
      </w:r>
    </w:p>
    <w:p>
      <w:pPr>
        <w:ind w:firstLine="360" w:firstLineChars="200"/>
        <w:rPr>
          <w:rFonts w:hint="eastAsia" w:ascii="宋体" w:hAnsi="宋体"/>
          <w:sz w:val="18"/>
          <w:szCs w:val="18"/>
        </w:rPr>
      </w:pPr>
      <w:r>
        <w:rPr>
          <w:rFonts w:hint="eastAsia" w:ascii="宋体" w:hAnsi="宋体"/>
          <w:color w:val="000000"/>
          <w:sz w:val="18"/>
          <w:szCs w:val="18"/>
        </w:rPr>
        <w:t>各类资产的投资比例合计为1</w:t>
      </w:r>
      <w:r>
        <w:rPr>
          <w:rFonts w:ascii="宋体" w:hAnsi="宋体"/>
          <w:color w:val="000000"/>
          <w:sz w:val="18"/>
          <w:szCs w:val="18"/>
        </w:rPr>
        <w:t>00%</w:t>
      </w:r>
      <w:r>
        <w:rPr>
          <w:rFonts w:hint="eastAsia" w:ascii="宋体" w:hAnsi="宋体"/>
          <w:color w:val="000000"/>
          <w:sz w:val="18"/>
          <w:szCs w:val="18"/>
        </w:rPr>
        <w:t xml:space="preserve">。 </w:t>
      </w:r>
    </w:p>
    <w:p>
      <w:pPr>
        <w:ind w:firstLine="360" w:firstLineChars="200"/>
        <w:rPr>
          <w:rFonts w:hint="eastAsia" w:ascii="宋体" w:hAnsi="宋体"/>
          <w:sz w:val="18"/>
          <w:szCs w:val="18"/>
        </w:rPr>
      </w:pPr>
      <w:r>
        <w:rPr>
          <w:rFonts w:hint="eastAsia" w:ascii="宋体" w:hAnsi="宋体"/>
          <w:sz w:val="18"/>
          <w:szCs w:val="18"/>
        </w:rPr>
        <w:t>在资产管理过程中,非因产品管理人主观因素导致投资比例暂时超出上述区间，产品管理人将在流动性受限资产可出售、可转让或者恢复交易的15个交易日内将本产品投资比例调整至上述比例范围，监管部门规定的特殊情形除外。</w:t>
      </w:r>
    </w:p>
    <w:p>
      <w:pPr>
        <w:ind w:firstLine="361" w:firstLineChars="200"/>
        <w:rPr>
          <w:rFonts w:hint="eastAsia" w:ascii="宋体" w:hAnsi="宋体"/>
          <w:sz w:val="18"/>
        </w:rPr>
      </w:pPr>
      <w:r>
        <w:rPr>
          <w:rFonts w:hint="eastAsia" w:ascii="宋体" w:hAnsi="宋体"/>
          <w:b/>
          <w:sz w:val="18"/>
        </w:rPr>
        <w:t>产品管理人有权对投资范围和投资资产种类进行调整，并至少提前</w:t>
      </w:r>
      <w:r>
        <w:rPr>
          <w:rFonts w:ascii="宋体" w:hAnsi="宋体"/>
          <w:b/>
          <w:sz w:val="18"/>
          <w:szCs w:val="20"/>
        </w:rPr>
        <w:t>2个工作日</w:t>
      </w:r>
      <w:r>
        <w:rPr>
          <w:rFonts w:hint="eastAsia" w:ascii="宋体" w:hAnsi="宋体"/>
          <w:b/>
          <w:sz w:val="18"/>
        </w:rPr>
        <w:t>进行信息披露</w:t>
      </w:r>
      <w:r>
        <w:rPr>
          <w:rFonts w:hint="eastAsia" w:ascii="宋体" w:hAnsi="宋体"/>
          <w:sz w:val="18"/>
        </w:rPr>
        <w:t>。</w:t>
      </w:r>
    </w:p>
    <w:p>
      <w:pPr>
        <w:spacing w:after="93" w:afterLines="30"/>
        <w:ind w:firstLine="361" w:firstLineChars="200"/>
        <w:rPr>
          <w:rFonts w:hint="eastAsia" w:ascii="宋体" w:hAnsi="宋体"/>
          <w:b/>
          <w:sz w:val="18"/>
        </w:rPr>
      </w:pPr>
      <w:r>
        <w:rPr>
          <w:rFonts w:hint="eastAsia" w:ascii="宋体" w:hAnsi="宋体"/>
          <w:b/>
          <w:sz w:val="18"/>
        </w:rPr>
        <w:t>产品管理人有权对投资比例进行调整，并至少提前</w:t>
      </w:r>
      <w:r>
        <w:rPr>
          <w:rFonts w:ascii="宋体" w:hAnsi="宋体"/>
          <w:b/>
          <w:sz w:val="18"/>
          <w:szCs w:val="20"/>
        </w:rPr>
        <w:t>2个工作日</w:t>
      </w:r>
      <w:r>
        <w:rPr>
          <w:rFonts w:hint="eastAsia" w:ascii="宋体" w:hAnsi="宋体"/>
          <w:b/>
          <w:sz w:val="18"/>
        </w:rPr>
        <w:t>进行信息披露。如投资者不接受的，可在信息披露生效前赎回本产品，此种情况下产品管理人将可能开放特殊赎回期间，具体以届时产品管理人信息披露为准。</w:t>
      </w:r>
    </w:p>
    <w:p>
      <w:pPr>
        <w:pStyle w:val="3"/>
        <w:spacing w:line="240" w:lineRule="auto"/>
        <w:ind w:firstLine="399" w:firstLineChars="221"/>
        <w:rPr>
          <w:rFonts w:hint="eastAsia" w:ascii="宋体" w:hAnsi="宋体"/>
          <w:sz w:val="18"/>
          <w:szCs w:val="18"/>
        </w:rPr>
      </w:pPr>
      <w:r>
        <w:rPr>
          <w:rFonts w:hint="eastAsia" w:ascii="宋体" w:hAnsi="宋体"/>
          <w:sz w:val="18"/>
          <w:szCs w:val="18"/>
        </w:rPr>
        <w:t>（二）投资限制</w:t>
      </w:r>
    </w:p>
    <w:p>
      <w:pPr>
        <w:ind w:firstLine="400"/>
        <w:rPr>
          <w:rFonts w:hint="eastAsia"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本产品不得投资于以下金融工具：</w:t>
      </w:r>
    </w:p>
    <w:p>
      <w:pPr>
        <w:ind w:firstLine="400"/>
        <w:rPr>
          <w:rFonts w:hint="eastAsia" w:ascii="宋体" w:hAnsi="宋体"/>
          <w:sz w:val="18"/>
          <w:szCs w:val="18"/>
        </w:rPr>
      </w:pPr>
      <w:r>
        <w:rPr>
          <w:rFonts w:hint="eastAsia" w:ascii="宋体" w:hAnsi="宋体"/>
          <w:sz w:val="18"/>
          <w:szCs w:val="18"/>
        </w:rPr>
        <w:t>（1）股票；</w:t>
      </w:r>
    </w:p>
    <w:p>
      <w:pPr>
        <w:ind w:firstLine="400"/>
        <w:rPr>
          <w:rFonts w:hint="eastAsia" w:ascii="宋体" w:hAnsi="宋体"/>
          <w:sz w:val="18"/>
          <w:szCs w:val="18"/>
        </w:rPr>
      </w:pPr>
      <w:r>
        <w:rPr>
          <w:rFonts w:hint="eastAsia" w:ascii="宋体" w:hAnsi="宋体"/>
          <w:sz w:val="18"/>
          <w:szCs w:val="18"/>
        </w:rPr>
        <w:t>（2）可转换债券、可交换债券；</w:t>
      </w:r>
    </w:p>
    <w:p>
      <w:pPr>
        <w:ind w:firstLine="400"/>
        <w:rPr>
          <w:rFonts w:hint="eastAsia" w:ascii="宋体" w:hAnsi="宋体"/>
          <w:sz w:val="18"/>
          <w:szCs w:val="18"/>
        </w:rPr>
      </w:pPr>
      <w:r>
        <w:rPr>
          <w:rFonts w:hint="eastAsia" w:ascii="宋体" w:hAnsi="宋体"/>
          <w:sz w:val="18"/>
          <w:szCs w:val="18"/>
        </w:rPr>
        <w:t>（3）以定期存款利率为基准利率的浮动利率债券，已进入最后一个利率调整期的除外；</w:t>
      </w:r>
    </w:p>
    <w:p>
      <w:pPr>
        <w:ind w:firstLine="400"/>
        <w:rPr>
          <w:rFonts w:hint="eastAsia" w:ascii="宋体" w:hAnsi="宋体"/>
          <w:sz w:val="18"/>
          <w:szCs w:val="18"/>
        </w:rPr>
      </w:pPr>
      <w:r>
        <w:rPr>
          <w:rFonts w:hint="eastAsia" w:ascii="宋体" w:hAnsi="宋体"/>
          <w:sz w:val="18"/>
          <w:szCs w:val="18"/>
        </w:rPr>
        <w:t>（4）信用等级在AA+以下的债券、资产支持证券；</w:t>
      </w:r>
    </w:p>
    <w:p>
      <w:pPr>
        <w:ind w:firstLine="400"/>
        <w:rPr>
          <w:rFonts w:hint="eastAsia" w:ascii="宋体" w:hAnsi="宋体"/>
          <w:sz w:val="18"/>
          <w:szCs w:val="18"/>
        </w:rPr>
      </w:pPr>
      <w:r>
        <w:rPr>
          <w:rFonts w:hint="eastAsia" w:ascii="宋体" w:hAnsi="宋体"/>
          <w:sz w:val="18"/>
          <w:szCs w:val="18"/>
        </w:rPr>
        <w:t>（5）</w:t>
      </w:r>
      <w:r>
        <w:rPr>
          <w:rFonts w:hint="eastAsia" w:ascii="宋体" w:hAnsi="宋体"/>
          <w:sz w:val="18"/>
          <w:szCs w:val="18"/>
          <w:lang w:eastAsia="zh-CN"/>
        </w:rPr>
        <w:t>国务院银行业监督管理机构</w:t>
      </w:r>
      <w:r>
        <w:rPr>
          <w:rFonts w:hint="eastAsia" w:ascii="宋体" w:hAnsi="宋体"/>
          <w:sz w:val="18"/>
          <w:szCs w:val="18"/>
        </w:rPr>
        <w:t>、中国人民银行禁止投资的其他金融工具。</w:t>
      </w:r>
    </w:p>
    <w:p>
      <w:pPr>
        <w:ind w:firstLine="400"/>
        <w:rPr>
          <w:rFonts w:hint="eastAsia" w:ascii="宋体" w:hAnsi="宋体"/>
          <w:sz w:val="18"/>
          <w:szCs w:val="18"/>
        </w:rPr>
      </w:pPr>
      <w:r>
        <w:rPr>
          <w:rFonts w:ascii="宋体" w:hAnsi="宋体"/>
          <w:sz w:val="18"/>
          <w:szCs w:val="18"/>
        </w:rPr>
        <w:t>2.</w:t>
      </w:r>
      <w:r>
        <w:rPr>
          <w:rFonts w:hint="eastAsia" w:ascii="宋体" w:hAnsi="宋体"/>
          <w:sz w:val="18"/>
          <w:szCs w:val="18"/>
        </w:rPr>
        <w:t>本产品投资相关集中度要求：</w:t>
      </w:r>
    </w:p>
    <w:p>
      <w:pPr>
        <w:ind w:firstLine="403"/>
        <w:rPr>
          <w:rFonts w:hint="eastAsia"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产品投资单只证券或者单只公募证券投资基金的市值不得超过本产品净资产的10%。投资于国债、地方政府债券、中央银行票据、政府机构债券、政策性金融债券以及完全按照有关指数的构成比例进行投资的除外。</w:t>
      </w:r>
    </w:p>
    <w:p>
      <w:pPr>
        <w:ind w:firstLine="403"/>
        <w:rPr>
          <w:rFonts w:hint="eastAsia"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产品管理人发行的全部公募理财产品投资单只证券或者单只公募证券投资基金的市值不得超过该证券市值或者公募证券投资基金市值的30%。投资于国债、地方政府债券、中央银行票据、政府机构债券、政策性金融债券以及完全按照有关指数的构成比例进行投资的除外。</w:t>
      </w:r>
    </w:p>
    <w:p>
      <w:pPr>
        <w:ind w:firstLine="400"/>
        <w:rPr>
          <w:rFonts w:hint="eastAsia"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产品管理人发行的全部理财产品投资单一上市公司发行的股票不得超过该上市公司可流通股票的30%。其中，产品管理人发行的全部开放式公募理财产品投资单一上市公司发行的股票不得超过该上市公司可流通股票的15%。</w:t>
      </w:r>
    </w:p>
    <w:p>
      <w:pPr>
        <w:ind w:firstLine="400"/>
        <w:rPr>
          <w:rFonts w:hint="eastAsia"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）本产品投资于同一机构发行的债券及其作为原始权益人的资产支持证券的比例合计不得超过本产品资产净值的10%，投资于国债、中央银行票据、政策性金融债券的除外。</w:t>
      </w:r>
    </w:p>
    <w:p>
      <w:pPr>
        <w:ind w:firstLine="400"/>
        <w:rPr>
          <w:rFonts w:hint="eastAsia" w:ascii="宋体" w:hAnsi="宋体"/>
          <w:sz w:val="18"/>
          <w:szCs w:val="18"/>
        </w:rPr>
      </w:pPr>
      <w:r>
        <w:rPr>
          <w:rFonts w:hint="eastAsia" w:ascii="宋体" w:hAnsi="宋体"/>
          <w:sz w:val="18"/>
          <w:szCs w:val="18"/>
        </w:rPr>
        <w:t>（5）本产品投资于所有主体信用评级低于AAA的机构发行的金融工具的比例合计不得超过本产品资产净值的10%，其中单一机构发行的金融工具的比例合计不得超过本产品资产净值的2%；本款所称金融工具包括债券、银行存款、同业存单、相关机构作为原始权益人的资产支持证券及</w:t>
      </w:r>
      <w:r>
        <w:rPr>
          <w:rFonts w:hint="eastAsia" w:ascii="宋体" w:hAnsi="宋体"/>
          <w:sz w:val="18"/>
          <w:szCs w:val="18"/>
          <w:lang w:eastAsia="zh-CN"/>
        </w:rPr>
        <w:t>国务院银行业监督管理机构</w:t>
      </w:r>
      <w:r>
        <w:rPr>
          <w:rFonts w:hint="eastAsia" w:ascii="宋体" w:hAnsi="宋体"/>
          <w:sz w:val="18"/>
          <w:szCs w:val="18"/>
        </w:rPr>
        <w:t>认可的其他金融工具。</w:t>
      </w:r>
    </w:p>
    <w:p>
      <w:pPr>
        <w:ind w:firstLine="400"/>
        <w:rPr>
          <w:rFonts w:hint="eastAsia" w:ascii="宋体" w:hAnsi="宋体"/>
          <w:sz w:val="18"/>
          <w:szCs w:val="18"/>
        </w:rPr>
      </w:pPr>
      <w:r>
        <w:rPr>
          <w:rFonts w:hint="eastAsia" w:ascii="宋体" w:hAnsi="宋体"/>
          <w:sz w:val="18"/>
          <w:szCs w:val="18"/>
        </w:rPr>
        <w:t>（6）本产品投资于有固定期限银行存款的比例合计不得超过该产品资产净值的30%，投资于有存款期限，根据协议可提前支取的银行存款除外；本产品投资于主体信用评级为AAA的同一商业银行的银行存款、同业存单占本产品资产净值的比例合计不得超过20%。</w:t>
      </w:r>
    </w:p>
    <w:p>
      <w:pPr>
        <w:ind w:firstLine="400"/>
        <w:rPr>
          <w:rFonts w:hint="eastAsia"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）产品管理人管理的全部现金管理类产品投资于同一商业银行的存款、同业存单和债券，不得超过该商业银行最近一个季度末净资产的10%。</w:t>
      </w:r>
    </w:p>
    <w:p>
      <w:pPr>
        <w:ind w:firstLine="400"/>
        <w:rPr>
          <w:rFonts w:hint="eastAsia" w:ascii="宋体" w:hAnsi="宋体"/>
          <w:sz w:val="18"/>
          <w:szCs w:val="18"/>
        </w:rPr>
      </w:pPr>
      <w:r>
        <w:rPr>
          <w:rFonts w:hint="eastAsia" w:ascii="宋体" w:hAnsi="宋体"/>
          <w:sz w:val="18"/>
          <w:szCs w:val="18"/>
        </w:rPr>
        <w:t>（8）法律法规或监管机构的其他要求。</w:t>
      </w:r>
    </w:p>
    <w:p>
      <w:pPr>
        <w:ind w:firstLine="400"/>
        <w:rPr>
          <w:rFonts w:hint="eastAsia" w:ascii="宋体" w:hAnsi="宋体"/>
          <w:sz w:val="18"/>
          <w:szCs w:val="18"/>
        </w:rPr>
      </w:pPr>
      <w:r>
        <w:rPr>
          <w:rFonts w:hint="eastAsia" w:ascii="宋体" w:hAnsi="宋体"/>
          <w:sz w:val="18"/>
          <w:szCs w:val="18"/>
        </w:rPr>
        <w:t>非因产品管理人主观因素导致突破前款（1）、（2）、（3）比例限制的，产品管理人应当在流动性受限资产可出售、可转让或者恢复交易的10个交易日内调整至符合要求，国务院银行业监督管理机构规定的特殊情形除外。</w:t>
      </w:r>
    </w:p>
    <w:p>
      <w:pPr>
        <w:ind w:firstLine="400"/>
        <w:rPr>
          <w:rFonts w:hint="eastAsia" w:ascii="宋体" w:hAnsi="宋体"/>
          <w:sz w:val="18"/>
          <w:szCs w:val="18"/>
        </w:rPr>
      </w:pPr>
      <w:r>
        <w:rPr>
          <w:rFonts w:hint="eastAsia" w:ascii="宋体" w:hAnsi="宋体"/>
          <w:sz w:val="18"/>
          <w:szCs w:val="18"/>
        </w:rPr>
        <w:t>非因产品管理人主观因素导致突破前款（</w:t>
      </w:r>
      <w:r>
        <w:rPr>
          <w:rFonts w:ascii="宋体" w:hAnsi="宋体"/>
          <w:sz w:val="18"/>
          <w:szCs w:val="18"/>
        </w:rPr>
        <w:t>4</w:t>
      </w:r>
      <w:r>
        <w:rPr>
          <w:rFonts w:hint="eastAsia" w:ascii="宋体" w:hAnsi="宋体"/>
          <w:sz w:val="18"/>
          <w:szCs w:val="18"/>
        </w:rPr>
        <w:t>）、（5）、（</w:t>
      </w:r>
      <w:r>
        <w:rPr>
          <w:rFonts w:ascii="宋体" w:hAnsi="宋体"/>
          <w:sz w:val="18"/>
          <w:szCs w:val="18"/>
        </w:rPr>
        <w:t>6</w:t>
      </w:r>
      <w:r>
        <w:rPr>
          <w:rFonts w:hint="eastAsia" w:ascii="宋体" w:hAnsi="宋体"/>
          <w:sz w:val="18"/>
          <w:szCs w:val="18"/>
        </w:rPr>
        <w:t>）、（7）比例限制的，产品管理人应当在10个交易日内调整至符合要求，</w:t>
      </w:r>
      <w:r>
        <w:rPr>
          <w:rFonts w:hint="eastAsia" w:ascii="宋体" w:hAnsi="宋体"/>
          <w:sz w:val="18"/>
          <w:szCs w:val="18"/>
          <w:lang w:eastAsia="zh-CN"/>
        </w:rPr>
        <w:t>国务院银行业监督管理机构</w:t>
      </w:r>
      <w:r>
        <w:rPr>
          <w:rFonts w:hint="eastAsia" w:ascii="宋体" w:hAnsi="宋体"/>
          <w:sz w:val="18"/>
          <w:szCs w:val="18"/>
        </w:rPr>
        <w:t>规定的特殊情形除外。</w:t>
      </w:r>
    </w:p>
    <w:p>
      <w:pPr>
        <w:ind w:firstLine="400"/>
        <w:rPr>
          <w:rFonts w:hint="eastAsia" w:ascii="宋体" w:hAnsi="宋体"/>
          <w:sz w:val="18"/>
          <w:szCs w:val="18"/>
        </w:rPr>
      </w:pPr>
      <w:r>
        <w:rPr>
          <w:rFonts w:ascii="宋体" w:hAnsi="宋体"/>
          <w:sz w:val="18"/>
          <w:szCs w:val="18"/>
        </w:rPr>
        <w:t>3.</w:t>
      </w:r>
      <w:r>
        <w:rPr>
          <w:rFonts w:hint="eastAsia" w:ascii="宋体" w:hAnsi="宋体"/>
          <w:sz w:val="18"/>
          <w:szCs w:val="18"/>
        </w:rPr>
        <w:t>本产品投资不存在活跃交易市场，并且需要采用估值技术确定公允价值的资产不得超过本产品净资产的</w:t>
      </w:r>
      <w:r>
        <w:rPr>
          <w:rFonts w:ascii="宋体" w:hAnsi="宋体"/>
          <w:sz w:val="18"/>
          <w:szCs w:val="18"/>
        </w:rPr>
        <w:t>50%（非因产品管理人主观因素导致突破本条规定比例限制的，本产品不得新增投资上述资产）。</w:t>
      </w:r>
    </w:p>
    <w:p>
      <w:pPr>
        <w:ind w:firstLine="400"/>
        <w:rPr>
          <w:rFonts w:hint="eastAsia" w:ascii="宋体" w:hAnsi="宋体"/>
          <w:sz w:val="18"/>
          <w:szCs w:val="18"/>
        </w:rPr>
      </w:pPr>
      <w:r>
        <w:rPr>
          <w:rFonts w:ascii="宋体" w:hAnsi="宋体"/>
          <w:sz w:val="18"/>
          <w:szCs w:val="18"/>
        </w:rPr>
        <w:t>4.</w:t>
      </w:r>
      <w:r>
        <w:rPr>
          <w:rFonts w:hint="eastAsia" w:ascii="宋体" w:hAnsi="宋体"/>
          <w:sz w:val="18"/>
          <w:szCs w:val="18"/>
        </w:rPr>
        <w:t>本产品直接投资于流动性受限资产的市值在开放日不得超过本产品资产净值的15%（因证券市场波动、上市公司股票停牌、理财产品规模变动等因素导致理财产品不符合本条规定比例限制的，本产品不得主动新增投资流动性受限资产）。</w:t>
      </w:r>
    </w:p>
    <w:p>
      <w:pPr>
        <w:ind w:firstLine="403"/>
        <w:rPr>
          <w:rFonts w:hint="eastAsia" w:ascii="宋体" w:hAnsi="宋体"/>
          <w:sz w:val="18"/>
          <w:szCs w:val="18"/>
        </w:rPr>
      </w:pPr>
      <w:r>
        <w:rPr>
          <w:rFonts w:ascii="宋体" w:hAnsi="宋体"/>
          <w:sz w:val="18"/>
          <w:szCs w:val="18"/>
        </w:rPr>
        <w:t>5.</w:t>
      </w:r>
      <w:r>
        <w:rPr>
          <w:rFonts w:hint="eastAsia" w:ascii="宋体" w:hAnsi="宋体"/>
          <w:sz w:val="18"/>
          <w:szCs w:val="18"/>
        </w:rPr>
        <w:t>本产品应持有不低于本产品资产净值5%的现金或者到期日在一年以内的国债、中央银行票据和政策性金融债券。</w:t>
      </w:r>
    </w:p>
    <w:p>
      <w:pPr>
        <w:ind w:firstLine="400"/>
        <w:rPr>
          <w:rFonts w:hint="eastAsia" w:ascii="宋体" w:hAnsi="宋体"/>
          <w:sz w:val="18"/>
          <w:szCs w:val="18"/>
        </w:rPr>
      </w:pPr>
      <w:r>
        <w:rPr>
          <w:rFonts w:ascii="宋体" w:hAnsi="宋体"/>
          <w:sz w:val="18"/>
          <w:szCs w:val="18"/>
        </w:rPr>
        <w:t>6.</w:t>
      </w:r>
      <w:r>
        <w:rPr>
          <w:rFonts w:hint="eastAsia" w:ascii="宋体" w:hAnsi="宋体"/>
          <w:sz w:val="18"/>
          <w:szCs w:val="18"/>
        </w:rPr>
        <w:t>本产品在开放日前一工作日内，7个工作日可变现资产的可变现价值应当不低于该产品资产净值的10%。</w:t>
      </w:r>
    </w:p>
    <w:p>
      <w:pPr>
        <w:ind w:firstLine="400"/>
        <w:rPr>
          <w:rFonts w:hint="eastAsia" w:ascii="宋体" w:hAnsi="宋体"/>
          <w:sz w:val="18"/>
          <w:szCs w:val="18"/>
        </w:rPr>
      </w:pPr>
      <w:r>
        <w:rPr>
          <w:rFonts w:ascii="宋体" w:hAnsi="宋体"/>
          <w:sz w:val="18"/>
          <w:szCs w:val="18"/>
        </w:rPr>
        <w:t>7.</w:t>
      </w:r>
      <w:r>
        <w:rPr>
          <w:rFonts w:hint="eastAsia" w:ascii="宋体" w:hAnsi="宋体"/>
          <w:sz w:val="18"/>
          <w:szCs w:val="18"/>
        </w:rPr>
        <w:t>本产品拟投资于主体信用评级低于AA+的商业银行的银行存款与同业存单的，应当经产品管理人董事会审议批准，相关交易应当事先告知托管机构，并作为重大事项履行信息披露程序。</w:t>
      </w:r>
    </w:p>
    <w:p>
      <w:pPr>
        <w:ind w:firstLine="400"/>
        <w:rPr>
          <w:rFonts w:hint="eastAsia" w:ascii="宋体" w:hAnsi="宋体"/>
          <w:sz w:val="18"/>
          <w:szCs w:val="18"/>
        </w:rPr>
      </w:pPr>
      <w:r>
        <w:rPr>
          <w:rFonts w:ascii="宋体" w:hAnsi="宋体"/>
          <w:sz w:val="18"/>
          <w:szCs w:val="18"/>
        </w:rPr>
        <w:t>8.</w:t>
      </w:r>
      <w:r>
        <w:rPr>
          <w:rFonts w:hint="eastAsia" w:ascii="宋体" w:hAnsi="宋体"/>
          <w:sz w:val="18"/>
          <w:szCs w:val="18"/>
        </w:rPr>
        <w:t>本产品应当确保持有足够的具有良好流动性的资产，投资组合应当符合以下要求：</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本产品持有不低于该产品资产净值</w:t>
      </w:r>
      <w:r>
        <w:rPr>
          <w:rFonts w:ascii="宋体" w:hAnsi="宋体"/>
          <w:sz w:val="18"/>
          <w:szCs w:val="18"/>
        </w:rPr>
        <w:t>10%的现金、国债、中央银行票据、政策性金融债券以及五个交易日内到期的其他金融工具；</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本产品投资到期日在</w:t>
      </w:r>
      <w:r>
        <w:rPr>
          <w:rFonts w:ascii="宋体" w:hAnsi="宋体"/>
          <w:sz w:val="18"/>
          <w:szCs w:val="18"/>
        </w:rPr>
        <w:t>10个交易日以上的债券买入返售、银行定期存款（</w:t>
      </w:r>
      <w:r>
        <w:rPr>
          <w:rFonts w:hint="eastAsia" w:ascii="宋体" w:hAnsi="宋体"/>
          <w:sz w:val="18"/>
          <w:szCs w:val="18"/>
        </w:rPr>
        <w:t>含协议约定有条件提前支取的银行存款），以及资产支持证券、因发行人债务违约无法进行转让或者交易的债券等由于法律法规、合同或者操作障碍等原因无法以合理价格予以变现的流动性受限资产，合计不得超过本产品资产净值的</w:t>
      </w:r>
      <w:r>
        <w:rPr>
          <w:rFonts w:ascii="宋体" w:hAnsi="宋体"/>
          <w:sz w:val="18"/>
          <w:szCs w:val="18"/>
        </w:rPr>
        <w:t>10%；</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本产品的杠杆水平不得超过</w:t>
      </w:r>
      <w:r>
        <w:rPr>
          <w:rFonts w:ascii="宋体" w:hAnsi="宋体"/>
          <w:sz w:val="18"/>
          <w:szCs w:val="18"/>
        </w:rPr>
        <w:t>120%，发生巨额赎回、连续3个交易日累计赎回20%以上或者连续5个交易日累计赎回30%以上的情形除外。</w:t>
      </w:r>
    </w:p>
    <w:p>
      <w:pPr>
        <w:ind w:firstLine="360" w:firstLineChars="200"/>
        <w:rPr>
          <w:rFonts w:hint="eastAsia" w:ascii="宋体" w:hAnsi="宋体"/>
          <w:sz w:val="18"/>
          <w:szCs w:val="18"/>
        </w:rPr>
      </w:pPr>
      <w:r>
        <w:rPr>
          <w:rFonts w:hint="eastAsia" w:ascii="宋体" w:hAnsi="宋体"/>
          <w:sz w:val="18"/>
          <w:szCs w:val="18"/>
        </w:rPr>
        <w:t>非因产品管理人主观因素导致突破前款第（</w:t>
      </w:r>
      <w:r>
        <w:rPr>
          <w:rFonts w:ascii="宋体" w:hAnsi="宋体"/>
          <w:sz w:val="18"/>
          <w:szCs w:val="18"/>
        </w:rPr>
        <w:t>1）（3</w:t>
      </w:r>
      <w:r>
        <w:rPr>
          <w:rFonts w:hint="eastAsia" w:ascii="宋体" w:hAnsi="宋体"/>
          <w:sz w:val="18"/>
          <w:szCs w:val="18"/>
        </w:rPr>
        <w:t>）项比例限制的，产品管理人应当在</w:t>
      </w:r>
      <w:r>
        <w:rPr>
          <w:rFonts w:ascii="宋体" w:hAnsi="宋体"/>
          <w:sz w:val="18"/>
          <w:szCs w:val="18"/>
        </w:rPr>
        <w:t>10个交易日内调整至符合要求；非</w:t>
      </w:r>
      <w:r>
        <w:rPr>
          <w:rFonts w:hint="eastAsia" w:ascii="宋体" w:hAnsi="宋体"/>
          <w:sz w:val="18"/>
          <w:szCs w:val="18"/>
        </w:rPr>
        <w:t>因产品管理人主观因素导致突破前款第（</w:t>
      </w:r>
      <w:r>
        <w:rPr>
          <w:rFonts w:ascii="宋体" w:hAnsi="宋体"/>
          <w:sz w:val="18"/>
          <w:szCs w:val="18"/>
        </w:rPr>
        <w:t>2</w:t>
      </w:r>
      <w:r>
        <w:rPr>
          <w:rFonts w:hint="eastAsia" w:ascii="宋体" w:hAnsi="宋体"/>
          <w:sz w:val="18"/>
          <w:szCs w:val="18"/>
        </w:rPr>
        <w:t>）项比例限制的，产品管理人不得主动新增流动性受限资产的投资。</w:t>
      </w:r>
    </w:p>
    <w:p>
      <w:pPr>
        <w:ind w:firstLine="360" w:firstLineChars="200"/>
        <w:rPr>
          <w:rFonts w:hint="eastAsia" w:ascii="宋体" w:hAnsi="宋体"/>
          <w:sz w:val="18"/>
          <w:szCs w:val="18"/>
        </w:rPr>
      </w:pPr>
      <w:r>
        <w:rPr>
          <w:rFonts w:ascii="宋体" w:hAnsi="宋体"/>
          <w:sz w:val="18"/>
          <w:szCs w:val="18"/>
        </w:rPr>
        <w:t>9.</w:t>
      </w:r>
      <w:r>
        <w:rPr>
          <w:rFonts w:hint="eastAsia" w:ascii="宋体" w:hAnsi="宋体"/>
          <w:sz w:val="18"/>
          <w:szCs w:val="18"/>
        </w:rPr>
        <w:t>本产品投资组合的平均剩余期限不得超过</w:t>
      </w:r>
      <w:r>
        <w:rPr>
          <w:rFonts w:ascii="宋体" w:hAnsi="宋体"/>
          <w:sz w:val="18"/>
          <w:szCs w:val="18"/>
        </w:rPr>
        <w:t>120天，平均剩余存续期限不得超过240天。</w:t>
      </w:r>
    </w:p>
    <w:p>
      <w:pPr>
        <w:ind w:firstLine="360" w:firstLineChars="200"/>
        <w:rPr>
          <w:rFonts w:hint="eastAsia" w:ascii="宋体" w:hAnsi="宋体"/>
          <w:sz w:val="18"/>
          <w:szCs w:val="18"/>
        </w:rPr>
      </w:pPr>
      <w:r>
        <w:rPr>
          <w:rFonts w:ascii="宋体" w:hAnsi="宋体"/>
          <w:sz w:val="18"/>
          <w:szCs w:val="18"/>
        </w:rPr>
        <w:t>10.</w:t>
      </w:r>
      <w:r>
        <w:rPr>
          <w:rFonts w:hint="eastAsia" w:ascii="宋体" w:hAnsi="宋体"/>
          <w:sz w:val="18"/>
          <w:szCs w:val="18"/>
        </w:rPr>
        <w:t>产品管理人应当对本产品的投资者集中度实施严格的监控与管理，根据投资者集中度情况对投资组合实施调整，并遵守以下要求：</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）当前</w:t>
      </w:r>
      <w:r>
        <w:rPr>
          <w:rFonts w:ascii="宋体" w:hAnsi="宋体"/>
          <w:sz w:val="18"/>
          <w:szCs w:val="18"/>
        </w:rPr>
        <w:t>10名投资者的持有份额合计超过</w:t>
      </w:r>
      <w:r>
        <w:rPr>
          <w:rFonts w:hint="eastAsia" w:ascii="宋体" w:hAnsi="宋体"/>
          <w:sz w:val="18"/>
          <w:szCs w:val="18"/>
        </w:rPr>
        <w:t>本产品总份额的</w:t>
      </w:r>
      <w:r>
        <w:rPr>
          <w:rFonts w:ascii="宋体" w:hAnsi="宋体"/>
          <w:sz w:val="18"/>
          <w:szCs w:val="18"/>
        </w:rPr>
        <w:t>50%时，投资组合的平均剩余期限不得超过60天，平均剩余存续期限不得超过120天，投资组合中现金、国债、中央银行票据、政策性金融债券以及5个交易日内到期的其他金融工具占</w:t>
      </w:r>
      <w:r>
        <w:rPr>
          <w:rFonts w:hint="eastAsia" w:ascii="宋体" w:hAnsi="宋体"/>
          <w:sz w:val="18"/>
          <w:szCs w:val="18"/>
        </w:rPr>
        <w:t>本产品资产净值的比例合计不得低于</w:t>
      </w:r>
      <w:r>
        <w:rPr>
          <w:rFonts w:ascii="宋体" w:hAnsi="宋体"/>
          <w:sz w:val="18"/>
          <w:szCs w:val="18"/>
        </w:rPr>
        <w:t>30%；</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）当前</w:t>
      </w:r>
      <w:r>
        <w:rPr>
          <w:rFonts w:ascii="宋体" w:hAnsi="宋体"/>
          <w:sz w:val="18"/>
          <w:szCs w:val="18"/>
        </w:rPr>
        <w:t>10</w:t>
      </w:r>
      <w:r>
        <w:rPr>
          <w:rFonts w:hint="eastAsia" w:ascii="宋体" w:hAnsi="宋体"/>
          <w:sz w:val="18"/>
          <w:szCs w:val="18"/>
        </w:rPr>
        <w:t>名投资者的持有份额合计超过本产品总份额的</w:t>
      </w:r>
      <w:r>
        <w:rPr>
          <w:rFonts w:ascii="宋体" w:hAnsi="宋体"/>
          <w:sz w:val="18"/>
          <w:szCs w:val="18"/>
        </w:rPr>
        <w:t>20%时，投资组合的平均剩余期限不得超过90天，平均剩余存续期限不得超过180天，投资组合中现金、国债、中央银行票据、政策性金融债券以</w:t>
      </w:r>
      <w:r>
        <w:rPr>
          <w:rFonts w:hint="eastAsia" w:ascii="宋体" w:hAnsi="宋体"/>
          <w:sz w:val="18"/>
          <w:szCs w:val="18"/>
        </w:rPr>
        <w:t>及</w:t>
      </w:r>
      <w:r>
        <w:rPr>
          <w:rFonts w:ascii="宋体" w:hAnsi="宋体"/>
          <w:sz w:val="18"/>
          <w:szCs w:val="18"/>
        </w:rPr>
        <w:t>5个交易日内到期的其他金融工具占</w:t>
      </w:r>
      <w:r>
        <w:rPr>
          <w:rFonts w:hint="eastAsia" w:ascii="宋体" w:hAnsi="宋体"/>
          <w:sz w:val="18"/>
          <w:szCs w:val="18"/>
        </w:rPr>
        <w:t>本产品资产净值的比例合计不得低于</w:t>
      </w:r>
      <w:r>
        <w:rPr>
          <w:rFonts w:ascii="宋体" w:hAnsi="宋体"/>
          <w:sz w:val="18"/>
          <w:szCs w:val="18"/>
        </w:rPr>
        <w:t>20%。</w:t>
      </w:r>
    </w:p>
    <w:p>
      <w:pPr>
        <w:ind w:firstLine="360" w:firstLineChars="200"/>
        <w:rPr>
          <w:rFonts w:hint="eastAsia" w:ascii="宋体" w:hAnsi="宋体"/>
          <w:sz w:val="18"/>
          <w:szCs w:val="18"/>
        </w:rPr>
      </w:pPr>
      <w:r>
        <w:rPr>
          <w:rFonts w:hint="eastAsia" w:ascii="宋体" w:hAnsi="宋体"/>
          <w:sz w:val="18"/>
          <w:szCs w:val="18"/>
        </w:rPr>
        <w:t>非因产品管理人主观因素导致突破前款第（</w:t>
      </w:r>
      <w:r>
        <w:rPr>
          <w:rFonts w:ascii="宋体" w:hAnsi="宋体"/>
          <w:sz w:val="18"/>
          <w:szCs w:val="18"/>
        </w:rPr>
        <w:t>1</w:t>
      </w:r>
      <w:r>
        <w:rPr>
          <w:rFonts w:hint="eastAsia" w:ascii="宋体" w:hAnsi="宋体"/>
          <w:sz w:val="18"/>
          <w:szCs w:val="18"/>
        </w:rPr>
        <w:t>）（</w:t>
      </w:r>
      <w:r>
        <w:rPr>
          <w:rFonts w:ascii="宋体" w:hAnsi="宋体"/>
          <w:sz w:val="18"/>
          <w:szCs w:val="18"/>
        </w:rPr>
        <w:t>2</w:t>
      </w:r>
      <w:r>
        <w:rPr>
          <w:rFonts w:hint="eastAsia" w:ascii="宋体" w:hAnsi="宋体"/>
          <w:sz w:val="18"/>
          <w:szCs w:val="18"/>
        </w:rPr>
        <w:t>）项比例限制的，产品管理人应当在</w:t>
      </w:r>
      <w:r>
        <w:rPr>
          <w:rFonts w:ascii="宋体" w:hAnsi="宋体"/>
          <w:sz w:val="18"/>
          <w:szCs w:val="18"/>
        </w:rPr>
        <w:t>10个交易日内调整至符合要求，</w:t>
      </w:r>
      <w:r>
        <w:rPr>
          <w:rFonts w:hint="eastAsia" w:ascii="宋体" w:hAnsi="宋体"/>
          <w:sz w:val="18"/>
          <w:szCs w:val="18"/>
          <w:lang w:eastAsia="zh-CN"/>
        </w:rPr>
        <w:t>国务院银行业监督管理机构</w:t>
      </w:r>
      <w:r>
        <w:rPr>
          <w:rFonts w:ascii="宋体" w:hAnsi="宋体"/>
          <w:sz w:val="18"/>
          <w:szCs w:val="18"/>
        </w:rPr>
        <w:t>规定的特殊情形除外。</w:t>
      </w:r>
    </w:p>
    <w:p>
      <w:pPr>
        <w:ind w:firstLine="361" w:firstLineChars="200"/>
        <w:rPr>
          <w:rFonts w:hint="eastAsia" w:ascii="宋体" w:hAnsi="宋体"/>
          <w:color w:val="000000"/>
          <w:sz w:val="18"/>
          <w:szCs w:val="18"/>
        </w:rPr>
      </w:pPr>
      <w:r>
        <w:rPr>
          <w:rFonts w:hint="eastAsia" w:ascii="宋体" w:hAnsi="宋体"/>
          <w:b/>
          <w:sz w:val="18"/>
          <w:szCs w:val="18"/>
        </w:rPr>
        <w:t>法律法规或监管机构对以上投资限制另有规定的，按照最新规定执行。</w:t>
      </w:r>
    </w:p>
    <w:p>
      <w:pPr>
        <w:ind w:firstLine="361" w:firstLineChars="200"/>
        <w:outlineLvl w:val="1"/>
        <w:rPr>
          <w:rFonts w:hint="eastAsia" w:ascii="宋体" w:hAnsi="宋体"/>
          <w:b/>
          <w:sz w:val="18"/>
          <w:szCs w:val="18"/>
        </w:rPr>
      </w:pPr>
      <w:r>
        <w:rPr>
          <w:rFonts w:hint="eastAsia" w:ascii="宋体" w:hAnsi="宋体"/>
          <w:b/>
          <w:sz w:val="18"/>
          <w:szCs w:val="18"/>
        </w:rPr>
        <w:t>（三）业绩比较基准</w:t>
      </w:r>
    </w:p>
    <w:p>
      <w:pPr>
        <w:ind w:firstLine="360" w:firstLineChars="200"/>
        <w:rPr>
          <w:rFonts w:hint="eastAsia" w:ascii="宋体" w:hAnsi="宋体"/>
          <w:color w:val="000000"/>
          <w:sz w:val="18"/>
          <w:szCs w:val="18"/>
        </w:rPr>
      </w:pPr>
      <w:r>
        <w:rPr>
          <w:rFonts w:hint="eastAsia" w:ascii="宋体" w:hAnsi="宋体"/>
          <w:color w:val="000000"/>
          <w:sz w:val="18"/>
          <w:szCs w:val="18"/>
        </w:rPr>
        <w:t>业绩比较基准为：中国人民银行公布的7天通知存款利率（年化）。</w:t>
      </w:r>
    </w:p>
    <w:p>
      <w:pPr>
        <w:ind w:firstLine="360" w:firstLineChars="200"/>
        <w:rPr>
          <w:rFonts w:hint="eastAsia" w:ascii="宋体" w:hAnsi="宋体"/>
          <w:b/>
          <w:bCs/>
          <w:sz w:val="18"/>
          <w:szCs w:val="18"/>
        </w:rPr>
      </w:pPr>
      <w:r>
        <w:rPr>
          <w:rFonts w:hint="eastAsia" w:ascii="宋体" w:hAnsi="宋体"/>
          <w:sz w:val="18"/>
          <w:szCs w:val="18"/>
        </w:rPr>
        <w:t>业绩比较基准选择原因及测算依据：管理人基于现阶段市场情况、资产收益以及产品投资范围、投资策略制定业绩比较基准。</w:t>
      </w:r>
      <w:r>
        <w:rPr>
          <w:rFonts w:hint="eastAsia" w:ascii="宋体" w:hAnsi="宋体"/>
          <w:bCs/>
          <w:sz w:val="18"/>
          <w:szCs w:val="18"/>
        </w:rPr>
        <w:t>以投资于现金、货币市场工具、银行存款、债券等固定收益类资产的比例不低于95%，组合杠杆率105%为例，参考货币基金指数收益率，考虑资本利得收益并结合产品投资策略进行测算</w:t>
      </w:r>
      <w:r>
        <w:rPr>
          <w:rFonts w:hint="eastAsia" w:ascii="宋体" w:hAnsi="宋体"/>
          <w:color w:val="000000"/>
          <w:sz w:val="18"/>
          <w:szCs w:val="18"/>
        </w:rPr>
        <w:t>，</w:t>
      </w:r>
      <w:r>
        <w:rPr>
          <w:rFonts w:hint="eastAsia" w:ascii="宋体" w:hAnsi="宋体"/>
          <w:sz w:val="18"/>
          <w:szCs w:val="18"/>
        </w:rPr>
        <w:t>经综合测算，扣除销售费、管理费、托管费等费用，确定本理财产品业绩比较基准。</w:t>
      </w:r>
      <w:r>
        <w:rPr>
          <w:rFonts w:hint="eastAsia" w:ascii="宋体" w:hAnsi="宋体"/>
          <w:b/>
          <w:bCs/>
          <w:sz w:val="18"/>
          <w:szCs w:val="18"/>
        </w:rPr>
        <w:t>（产品示例仅供参考，具体投资比例可根据各类资产的收益水平、流动性特征、信用风险等因素动态调整，投资范围详见产品说明书第二章“投资管理”部分。）</w:t>
      </w:r>
    </w:p>
    <w:p>
      <w:pPr>
        <w:spacing w:after="93" w:afterLines="30"/>
        <w:ind w:firstLine="361" w:firstLineChars="200"/>
        <w:rPr>
          <w:rFonts w:hint="eastAsia" w:ascii="宋体" w:hAnsi="宋体"/>
          <w:b/>
          <w:color w:val="000000"/>
          <w:sz w:val="18"/>
          <w:szCs w:val="18"/>
        </w:rPr>
      </w:pPr>
      <w:r>
        <w:rPr>
          <w:rFonts w:hint="eastAsia" w:ascii="宋体" w:hAnsi="宋体"/>
          <w:b/>
          <w:color w:val="000000"/>
          <w:sz w:val="18"/>
          <w:szCs w:val="18"/>
        </w:rPr>
        <w:t>业绩比较基准是产品管理人基于产品性质、投资策略、过往经验等因素对产品设定的投资目标，将作为计算产品管理人超额业绩报酬的标准。业绩比较基准不是预期收益率，不代表产品的未来表现和实际收益，不构成对该理财产品的任何收益承诺。当监管政策、市场环境、产品性质等因素发生变化，导致理财产品的业绩比较基准必须进行调整时，产品管理人有权调整产品业绩比较基准。</w:t>
      </w:r>
    </w:p>
    <w:p>
      <w:pPr>
        <w:ind w:firstLine="361" w:firstLineChars="200"/>
        <w:outlineLvl w:val="1"/>
        <w:rPr>
          <w:rFonts w:hint="eastAsia" w:ascii="宋体" w:hAnsi="宋体"/>
          <w:b/>
          <w:color w:val="000000"/>
          <w:sz w:val="18"/>
          <w:szCs w:val="18"/>
        </w:rPr>
      </w:pPr>
      <w:r>
        <w:rPr>
          <w:rFonts w:hint="eastAsia" w:ascii="宋体" w:hAnsi="宋体"/>
          <w:b/>
          <w:color w:val="000000"/>
          <w:sz w:val="18"/>
          <w:szCs w:val="18"/>
        </w:rPr>
        <w:t>（四）投资团队</w:t>
      </w:r>
    </w:p>
    <w:p>
      <w:pPr>
        <w:ind w:firstLine="360" w:firstLineChars="200"/>
        <w:rPr>
          <w:rFonts w:hint="eastAsia" w:ascii="宋体" w:hAnsi="宋体"/>
          <w:color w:val="000000"/>
          <w:sz w:val="18"/>
          <w:szCs w:val="18"/>
        </w:rPr>
      </w:pPr>
      <w:r>
        <w:rPr>
          <w:rFonts w:hint="eastAsia" w:ascii="宋体" w:hAnsi="宋体"/>
          <w:color w:val="000000"/>
          <w:sz w:val="18"/>
          <w:szCs w:val="18"/>
        </w:rPr>
        <w:t>产品管理人拥有专业化的理财产品投资管理团队和丰富的投资经验。产品管理人秉承稳健经营的传统，发挥自身优势，为产品运作管理提供专业的投资管理服务，力争帮助投资者实现收益。</w:t>
      </w:r>
    </w:p>
    <w:p>
      <w:pPr>
        <w:ind w:firstLine="361" w:firstLineChars="200"/>
        <w:outlineLvl w:val="1"/>
        <w:rPr>
          <w:rFonts w:hint="eastAsia" w:ascii="宋体" w:hAnsi="宋体"/>
          <w:b/>
          <w:sz w:val="18"/>
          <w:szCs w:val="18"/>
        </w:rPr>
      </w:pPr>
      <w:r>
        <w:rPr>
          <w:rFonts w:hint="eastAsia" w:ascii="宋体" w:hAnsi="宋体"/>
          <w:b/>
          <w:sz w:val="18"/>
          <w:szCs w:val="18"/>
        </w:rPr>
        <w:t>（五）参与主体</w:t>
      </w:r>
    </w:p>
    <w:p>
      <w:pPr>
        <w:autoSpaceDE w:val="0"/>
        <w:autoSpaceDN w:val="0"/>
        <w:adjustRightInd w:val="0"/>
        <w:ind w:firstLine="360"/>
        <w:rPr>
          <w:rFonts w:hint="eastAsia"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w:t>
      </w:r>
      <w:r>
        <w:rPr>
          <w:rFonts w:hint="eastAsia" w:ascii="宋体" w:hAnsi="宋体" w:cs="宋体"/>
          <w:color w:val="000000"/>
          <w:kern w:val="0"/>
          <w:sz w:val="18"/>
          <w:szCs w:val="18"/>
        </w:rPr>
        <w:t>产品管理人：建信理财有限责任公司</w:t>
      </w:r>
    </w:p>
    <w:p>
      <w:pPr>
        <w:ind w:firstLine="360" w:firstLineChars="200"/>
        <w:rPr>
          <w:rFonts w:hint="eastAsia" w:ascii="宋体" w:hAnsi="宋体"/>
          <w:sz w:val="18"/>
          <w:szCs w:val="18"/>
        </w:rPr>
      </w:pPr>
      <w:r>
        <w:rPr>
          <w:rFonts w:hint="eastAsia" w:ascii="宋体" w:hAnsi="宋体"/>
          <w:sz w:val="18"/>
          <w:szCs w:val="18"/>
        </w:rPr>
        <w:t>2.产品托管人：中国银行股份有限公司</w:t>
      </w:r>
    </w:p>
    <w:p>
      <w:pPr>
        <w:ind w:firstLine="360" w:firstLineChars="200"/>
        <w:rPr>
          <w:rFonts w:hint="eastAsia" w:ascii="宋体" w:hAnsi="宋体"/>
          <w:sz w:val="18"/>
          <w:szCs w:val="18"/>
        </w:rPr>
      </w:pPr>
      <w:r>
        <w:rPr>
          <w:rFonts w:hint="eastAsia" w:ascii="宋体" w:hAnsi="宋体"/>
          <w:sz w:val="18"/>
          <w:szCs w:val="18"/>
        </w:rPr>
        <w:t>住所：北京市西城区复兴门内大街1号</w:t>
      </w:r>
    </w:p>
    <w:p>
      <w:pPr>
        <w:ind w:firstLine="360" w:firstLineChars="200"/>
        <w:rPr>
          <w:rFonts w:hint="eastAsia" w:ascii="宋体" w:hAnsi="宋体"/>
          <w:sz w:val="18"/>
          <w:szCs w:val="18"/>
        </w:rPr>
      </w:pPr>
      <w:r>
        <w:rPr>
          <w:rFonts w:hint="eastAsia" w:ascii="宋体" w:hAnsi="宋体"/>
          <w:sz w:val="18"/>
          <w:szCs w:val="18"/>
        </w:rPr>
        <w:t>主要职责：根据法律法规和合同约定，提供托管资产保管、办理托管资产名下资金清算、进行托管资产会计核算和估值，监督管理人投资运作等服务。</w:t>
      </w:r>
    </w:p>
    <w:p>
      <w:pPr>
        <w:ind w:firstLine="360" w:firstLineChars="200"/>
        <w:rPr>
          <w:rFonts w:hint="eastAsia" w:ascii="宋体" w:hAnsi="宋体"/>
          <w:sz w:val="18"/>
          <w:szCs w:val="18"/>
        </w:rPr>
      </w:pPr>
      <w:r>
        <w:rPr>
          <w:rFonts w:hint="eastAsia" w:ascii="宋体" w:hAnsi="宋体"/>
          <w:sz w:val="18"/>
          <w:szCs w:val="18"/>
        </w:rPr>
        <w:t>3.理财产品代销机构：</w:t>
      </w:r>
    </w:p>
    <w:p>
      <w:pPr>
        <w:ind w:firstLine="360" w:firstLineChars="200"/>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1</w:t>
      </w:r>
      <w:r>
        <w:rPr>
          <w:rFonts w:hint="eastAsia" w:ascii="宋体" w:hAnsi="宋体"/>
          <w:sz w:val="18"/>
          <w:szCs w:val="18"/>
          <w:lang w:eastAsia="zh-CN"/>
        </w:rPr>
        <w:t>）</w:t>
      </w:r>
      <w:r>
        <w:rPr>
          <w:rFonts w:hint="eastAsia" w:ascii="宋体" w:hAnsi="宋体"/>
          <w:sz w:val="18"/>
          <w:szCs w:val="18"/>
        </w:rPr>
        <w:t>苏州银行股份有限公司</w:t>
      </w:r>
    </w:p>
    <w:p>
      <w:pPr>
        <w:ind w:firstLine="360" w:firstLineChars="200"/>
        <w:rPr>
          <w:rFonts w:hint="eastAsia" w:ascii="宋体" w:hAnsi="宋体"/>
          <w:sz w:val="18"/>
          <w:szCs w:val="18"/>
        </w:rPr>
      </w:pPr>
      <w:r>
        <w:rPr>
          <w:rFonts w:hint="eastAsia" w:ascii="宋体" w:hAnsi="宋体"/>
          <w:sz w:val="18"/>
          <w:szCs w:val="18"/>
        </w:rPr>
        <w:t>住所：江苏省苏州工业园区钟园路728号</w:t>
      </w:r>
    </w:p>
    <w:p>
      <w:pPr>
        <w:ind w:firstLine="360" w:firstLineChars="200"/>
        <w:rPr>
          <w:rFonts w:hint="eastAsia" w:ascii="宋体" w:hAnsi="宋体"/>
          <w:sz w:val="18"/>
          <w:szCs w:val="18"/>
        </w:rPr>
      </w:pPr>
      <w:r>
        <w:rPr>
          <w:rFonts w:hint="eastAsia" w:ascii="宋体" w:hAnsi="宋体"/>
          <w:sz w:val="18"/>
          <w:szCs w:val="18"/>
        </w:rPr>
        <w:t>主要职责：根据法律法规和合同约定，为投资者提供交易账户办理、产品交易等支持、销售咨询等服务。</w:t>
      </w:r>
    </w:p>
    <w:p>
      <w:pPr>
        <w:numPr>
          <w:ilvl w:val="0"/>
          <w:numId w:val="1"/>
        </w:numPr>
        <w:ind w:firstLine="360" w:firstLineChars="200"/>
        <w:rPr>
          <w:rFonts w:hint="eastAsia" w:ascii="宋体" w:hAnsi="宋体"/>
          <w:sz w:val="18"/>
          <w:szCs w:val="18"/>
          <w:lang w:val="en-US" w:eastAsia="zh-CN"/>
        </w:rPr>
      </w:pPr>
      <w:r>
        <w:rPr>
          <w:rFonts w:hint="eastAsia" w:ascii="宋体" w:hAnsi="宋体"/>
          <w:sz w:val="18"/>
          <w:szCs w:val="18"/>
          <w:lang w:val="en-US" w:eastAsia="zh-CN"/>
        </w:rPr>
        <w:t>广发银行股份有限公司</w:t>
      </w:r>
    </w:p>
    <w:p>
      <w:pPr>
        <w:numPr>
          <w:ilvl w:val="-1"/>
          <w:numId w:val="0"/>
        </w:numPr>
        <w:ind w:firstLine="360" w:firstLineChars="200"/>
        <w:rPr>
          <w:rFonts w:hint="default" w:ascii="宋体" w:hAnsi="宋体"/>
          <w:sz w:val="18"/>
          <w:szCs w:val="18"/>
          <w:lang w:val="en-US" w:eastAsia="zh-CN"/>
        </w:rPr>
      </w:pPr>
      <w:r>
        <w:rPr>
          <w:rFonts w:hint="default" w:ascii="宋体" w:hAnsi="宋体"/>
          <w:sz w:val="18"/>
          <w:szCs w:val="18"/>
          <w:lang w:val="en-US" w:eastAsia="zh-CN"/>
        </w:rPr>
        <w:t>住所：</w:t>
      </w:r>
      <w:r>
        <w:rPr>
          <w:rFonts w:hint="eastAsia" w:ascii="宋体" w:hAnsi="宋体"/>
          <w:sz w:val="18"/>
          <w:szCs w:val="18"/>
          <w:lang w:val="en-US" w:eastAsia="zh-CN"/>
        </w:rPr>
        <w:t>广东省广州市越秀区东方东路713号</w:t>
      </w:r>
    </w:p>
    <w:p>
      <w:pPr>
        <w:numPr>
          <w:ilvl w:val="-1"/>
          <w:numId w:val="0"/>
        </w:numPr>
        <w:ind w:firstLine="360" w:firstLineChars="200"/>
        <w:rPr>
          <w:rFonts w:hint="default" w:ascii="宋体" w:hAnsi="宋体"/>
          <w:sz w:val="18"/>
          <w:szCs w:val="18"/>
          <w:lang w:val="en-US" w:eastAsia="zh-CN"/>
        </w:rPr>
      </w:pPr>
      <w:r>
        <w:rPr>
          <w:rFonts w:hint="default" w:ascii="宋体" w:hAnsi="宋体"/>
          <w:sz w:val="18"/>
          <w:szCs w:val="18"/>
          <w:lang w:val="en-US" w:eastAsia="zh-CN"/>
        </w:rPr>
        <w:t>主要职责：根据法律法规和合同约定，为投资者提供交易账户办理、产品交易等支持、销售咨询等服务。</w:t>
      </w:r>
    </w:p>
    <w:p>
      <w:pPr>
        <w:ind w:firstLine="360" w:firstLineChars="200"/>
        <w:rPr>
          <w:rFonts w:hint="eastAsia" w:ascii="宋体" w:hAnsi="宋体"/>
          <w:sz w:val="18"/>
          <w:szCs w:val="18"/>
        </w:rPr>
      </w:pPr>
      <w:r>
        <w:rPr>
          <w:rFonts w:hint="eastAsia" w:ascii="宋体" w:hAnsi="宋体"/>
          <w:sz w:val="18"/>
          <w:szCs w:val="18"/>
        </w:rPr>
        <w:t>4.理财投资合作机构：</w:t>
      </w:r>
    </w:p>
    <w:p>
      <w:pPr>
        <w:ind w:firstLine="360" w:firstLineChars="200"/>
        <w:rPr>
          <w:rFonts w:hint="eastAsia" w:ascii="宋体" w:hAnsi="宋体"/>
          <w:sz w:val="18"/>
          <w:szCs w:val="18"/>
        </w:rPr>
      </w:pPr>
      <w:r>
        <w:rPr>
          <w:rFonts w:hint="eastAsia" w:ascii="宋体" w:hAnsi="宋体"/>
          <w:sz w:val="18"/>
          <w:szCs w:val="18"/>
        </w:rPr>
        <w:t>（1）建信基金管理有限责任公司</w:t>
      </w:r>
    </w:p>
    <w:p>
      <w:pPr>
        <w:ind w:firstLine="360" w:firstLineChars="200"/>
        <w:rPr>
          <w:rFonts w:hint="eastAsia" w:ascii="宋体" w:hAnsi="宋体"/>
          <w:sz w:val="18"/>
          <w:szCs w:val="18"/>
        </w:rPr>
      </w:pPr>
      <w:r>
        <w:rPr>
          <w:rFonts w:hint="eastAsia" w:ascii="宋体" w:hAnsi="宋体"/>
          <w:sz w:val="18"/>
          <w:szCs w:val="18"/>
        </w:rPr>
        <w:t>住所：北京市西城区金融大街7号英蓝国际金融中心16层</w:t>
      </w:r>
    </w:p>
    <w:p>
      <w:pPr>
        <w:ind w:firstLine="360" w:firstLineChars="200"/>
        <w:rPr>
          <w:rFonts w:hint="eastAsia" w:ascii="宋体" w:hAnsi="宋体"/>
          <w:sz w:val="18"/>
          <w:szCs w:val="18"/>
        </w:rPr>
      </w:pPr>
      <w:r>
        <w:rPr>
          <w:rFonts w:hint="eastAsia" w:ascii="宋体" w:hAnsi="宋体"/>
          <w:sz w:val="18"/>
          <w:szCs w:val="18"/>
        </w:rPr>
        <w:t>主要职责：根据法律法规和合同约定对受托资金进行投资和管理。</w:t>
      </w:r>
    </w:p>
    <w:p>
      <w:pPr>
        <w:autoSpaceDE w:val="0"/>
        <w:autoSpaceDN w:val="0"/>
        <w:adjustRightInd w:val="0"/>
        <w:ind w:firstLine="360" w:firstLineChars="200"/>
        <w:rPr>
          <w:rFonts w:hint="eastAsia"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2</w:t>
      </w:r>
      <w:r>
        <w:rPr>
          <w:rFonts w:hint="eastAsia" w:ascii="宋体" w:hAnsi="宋体"/>
          <w:color w:val="000000"/>
          <w:sz w:val="18"/>
          <w:szCs w:val="18"/>
        </w:rPr>
        <w:t>）建信信托有限责任公司</w:t>
      </w:r>
    </w:p>
    <w:p>
      <w:pPr>
        <w:autoSpaceDE w:val="0"/>
        <w:autoSpaceDN w:val="0"/>
        <w:adjustRightInd w:val="0"/>
        <w:ind w:firstLine="360" w:firstLineChars="200"/>
        <w:rPr>
          <w:rFonts w:hint="eastAsia" w:ascii="宋体" w:hAnsi="宋体"/>
          <w:color w:val="000000"/>
          <w:sz w:val="18"/>
          <w:szCs w:val="18"/>
        </w:rPr>
      </w:pPr>
      <w:r>
        <w:rPr>
          <w:rFonts w:hint="eastAsia" w:ascii="宋体" w:hAnsi="宋体"/>
          <w:sz w:val="18"/>
          <w:szCs w:val="18"/>
        </w:rPr>
        <w:t>住所：安徽省合肥市九狮桥街45号兴泰大厦</w:t>
      </w:r>
    </w:p>
    <w:p>
      <w:pPr>
        <w:autoSpaceDE w:val="0"/>
        <w:autoSpaceDN w:val="0"/>
        <w:adjustRightInd w:val="0"/>
        <w:ind w:firstLine="360" w:firstLineChars="200"/>
        <w:rPr>
          <w:rFonts w:hint="eastAsia" w:ascii="宋体" w:hAnsi="宋体"/>
          <w:color w:val="000000"/>
          <w:sz w:val="18"/>
          <w:szCs w:val="18"/>
        </w:rPr>
      </w:pPr>
      <w:r>
        <w:rPr>
          <w:rFonts w:hint="eastAsia" w:ascii="宋体" w:hAnsi="宋体"/>
          <w:color w:val="000000"/>
          <w:sz w:val="18"/>
          <w:szCs w:val="18"/>
        </w:rPr>
        <w:t>主要职责：根据</w:t>
      </w:r>
      <w:r>
        <w:rPr>
          <w:rFonts w:hint="eastAsia" w:ascii="宋体" w:hAnsi="宋体"/>
          <w:sz w:val="18"/>
          <w:szCs w:val="18"/>
        </w:rPr>
        <w:t>法律法规和</w:t>
      </w:r>
      <w:r>
        <w:rPr>
          <w:rFonts w:hint="eastAsia" w:ascii="宋体" w:hAnsi="宋体"/>
          <w:color w:val="000000"/>
          <w:sz w:val="18"/>
          <w:szCs w:val="18"/>
        </w:rPr>
        <w:t>合同约定对受托资金进行投资和管理。</w:t>
      </w:r>
    </w:p>
    <w:p>
      <w:pPr>
        <w:autoSpaceDE w:val="0"/>
        <w:autoSpaceDN w:val="0"/>
        <w:adjustRightInd w:val="0"/>
        <w:ind w:firstLine="360" w:firstLineChars="200"/>
        <w:rPr>
          <w:rFonts w:hint="eastAsia"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3</w:t>
      </w:r>
      <w:r>
        <w:rPr>
          <w:rFonts w:hint="eastAsia" w:ascii="宋体" w:hAnsi="宋体"/>
          <w:color w:val="000000"/>
          <w:sz w:val="18"/>
          <w:szCs w:val="18"/>
        </w:rPr>
        <w:t>）建信资本管理有限责任公司</w:t>
      </w:r>
    </w:p>
    <w:p>
      <w:pPr>
        <w:autoSpaceDE w:val="0"/>
        <w:autoSpaceDN w:val="0"/>
        <w:adjustRightInd w:val="0"/>
        <w:ind w:firstLine="360" w:firstLineChars="200"/>
        <w:rPr>
          <w:rFonts w:hint="eastAsia" w:ascii="宋体" w:hAnsi="宋体"/>
          <w:color w:val="000000"/>
          <w:sz w:val="18"/>
          <w:szCs w:val="18"/>
        </w:rPr>
      </w:pPr>
      <w:r>
        <w:rPr>
          <w:rFonts w:hint="eastAsia" w:ascii="宋体" w:hAnsi="宋体"/>
          <w:sz w:val="18"/>
          <w:szCs w:val="18"/>
        </w:rPr>
        <w:t>住所：上海市虹口区广纪路738号2幢232室</w:t>
      </w:r>
    </w:p>
    <w:p>
      <w:pPr>
        <w:autoSpaceDE w:val="0"/>
        <w:autoSpaceDN w:val="0"/>
        <w:adjustRightInd w:val="0"/>
        <w:ind w:firstLine="360" w:firstLineChars="200"/>
        <w:rPr>
          <w:rFonts w:hint="eastAsia" w:ascii="宋体" w:hAnsi="宋体"/>
          <w:color w:val="000000"/>
          <w:sz w:val="18"/>
          <w:szCs w:val="18"/>
        </w:rPr>
      </w:pPr>
      <w:r>
        <w:rPr>
          <w:rFonts w:hint="eastAsia" w:ascii="宋体" w:hAnsi="宋体"/>
          <w:color w:val="000000"/>
          <w:sz w:val="18"/>
          <w:szCs w:val="18"/>
        </w:rPr>
        <w:t>主要职责：根据</w:t>
      </w:r>
      <w:r>
        <w:rPr>
          <w:rFonts w:hint="eastAsia" w:ascii="宋体" w:hAnsi="宋体"/>
          <w:sz w:val="18"/>
          <w:szCs w:val="18"/>
        </w:rPr>
        <w:t>法律法规和</w:t>
      </w:r>
      <w:r>
        <w:rPr>
          <w:rFonts w:hint="eastAsia" w:ascii="宋体" w:hAnsi="宋体"/>
          <w:color w:val="000000"/>
          <w:sz w:val="18"/>
          <w:szCs w:val="18"/>
        </w:rPr>
        <w:t>合同约定对受托资金进行投资和管理。</w:t>
      </w:r>
    </w:p>
    <w:p>
      <w:pPr>
        <w:autoSpaceDE w:val="0"/>
        <w:autoSpaceDN w:val="0"/>
        <w:adjustRightInd w:val="0"/>
        <w:ind w:firstLine="360" w:firstLineChars="200"/>
        <w:rPr>
          <w:rFonts w:hint="eastAsia" w:ascii="宋体" w:hAnsi="宋体"/>
          <w:color w:val="000000"/>
          <w:sz w:val="18"/>
          <w:szCs w:val="18"/>
        </w:rPr>
      </w:pPr>
      <w:r>
        <w:rPr>
          <w:rFonts w:hint="eastAsia" w:ascii="宋体" w:hAnsi="宋体"/>
          <w:color w:val="000000"/>
          <w:sz w:val="18"/>
          <w:szCs w:val="18"/>
        </w:rPr>
        <w:t>（4）建信保险资产管理有限公司</w:t>
      </w:r>
    </w:p>
    <w:p>
      <w:pPr>
        <w:autoSpaceDE w:val="0"/>
        <w:autoSpaceDN w:val="0"/>
        <w:adjustRightInd w:val="0"/>
        <w:ind w:firstLine="360" w:firstLineChars="200"/>
        <w:rPr>
          <w:rFonts w:hint="eastAsia" w:ascii="宋体" w:hAnsi="宋体"/>
          <w:color w:val="000000"/>
          <w:sz w:val="18"/>
          <w:szCs w:val="18"/>
        </w:rPr>
      </w:pPr>
      <w:r>
        <w:rPr>
          <w:rFonts w:hint="eastAsia" w:ascii="宋体" w:hAnsi="宋体"/>
          <w:color w:val="000000"/>
          <w:sz w:val="18"/>
          <w:szCs w:val="18"/>
        </w:rPr>
        <w:t xml:space="preserve">住所：深圳市福田区南园街道深南中路1027号新城大厦西座7楼 </w:t>
      </w:r>
    </w:p>
    <w:p>
      <w:pPr>
        <w:autoSpaceDE w:val="0"/>
        <w:autoSpaceDN w:val="0"/>
        <w:adjustRightInd w:val="0"/>
        <w:ind w:firstLine="360" w:firstLineChars="200"/>
        <w:rPr>
          <w:rFonts w:hint="eastAsia" w:ascii="宋体" w:hAnsi="宋体"/>
          <w:color w:val="000000"/>
          <w:sz w:val="18"/>
          <w:szCs w:val="18"/>
        </w:rPr>
      </w:pPr>
      <w:r>
        <w:rPr>
          <w:rFonts w:hint="eastAsia" w:ascii="宋体" w:hAnsi="宋体"/>
          <w:color w:val="000000"/>
          <w:sz w:val="18"/>
          <w:szCs w:val="18"/>
        </w:rPr>
        <w:t>主要职责：根据法律法规和合同约定对受托资金进行投资和管理。</w:t>
      </w:r>
    </w:p>
    <w:p>
      <w:pPr>
        <w:autoSpaceDE w:val="0"/>
        <w:autoSpaceDN w:val="0"/>
        <w:adjustRightInd w:val="0"/>
        <w:ind w:firstLine="360" w:firstLineChars="200"/>
        <w:rPr>
          <w:rFonts w:hint="eastAsia"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5</w:t>
      </w:r>
      <w:r>
        <w:rPr>
          <w:rFonts w:hint="eastAsia" w:ascii="宋体" w:hAnsi="宋体"/>
          <w:color w:val="000000"/>
          <w:sz w:val="18"/>
          <w:szCs w:val="18"/>
        </w:rPr>
        <w:t>）中国国际金融股份有限公司</w:t>
      </w:r>
    </w:p>
    <w:p>
      <w:pPr>
        <w:autoSpaceDE w:val="0"/>
        <w:autoSpaceDN w:val="0"/>
        <w:adjustRightInd w:val="0"/>
        <w:ind w:firstLine="360" w:firstLineChars="200"/>
        <w:rPr>
          <w:rFonts w:hint="eastAsia" w:ascii="宋体" w:hAnsi="宋体"/>
          <w:color w:val="000000"/>
          <w:sz w:val="18"/>
          <w:szCs w:val="18"/>
        </w:rPr>
      </w:pPr>
      <w:r>
        <w:rPr>
          <w:rFonts w:hint="eastAsia" w:ascii="宋体" w:hAnsi="宋体"/>
          <w:sz w:val="18"/>
          <w:szCs w:val="18"/>
        </w:rPr>
        <w:t>住所：北京市朝阳区建国门外大街1号国贸大厦2座27层及28层</w:t>
      </w:r>
    </w:p>
    <w:p>
      <w:pPr>
        <w:autoSpaceDE w:val="0"/>
        <w:autoSpaceDN w:val="0"/>
        <w:adjustRightInd w:val="0"/>
        <w:ind w:firstLine="360" w:firstLineChars="200"/>
        <w:rPr>
          <w:rFonts w:hint="eastAsia" w:ascii="宋体" w:hAnsi="宋体"/>
          <w:color w:val="000000"/>
          <w:sz w:val="18"/>
          <w:szCs w:val="18"/>
        </w:rPr>
      </w:pPr>
      <w:r>
        <w:rPr>
          <w:rFonts w:hint="eastAsia" w:ascii="宋体" w:hAnsi="宋体"/>
          <w:color w:val="000000"/>
          <w:sz w:val="18"/>
          <w:szCs w:val="18"/>
        </w:rPr>
        <w:t>主要职责：根据</w:t>
      </w:r>
      <w:r>
        <w:rPr>
          <w:rFonts w:hint="eastAsia" w:ascii="宋体" w:hAnsi="宋体"/>
          <w:sz w:val="18"/>
          <w:szCs w:val="18"/>
        </w:rPr>
        <w:t>法律法规和</w:t>
      </w:r>
      <w:r>
        <w:rPr>
          <w:rFonts w:hint="eastAsia" w:ascii="宋体" w:hAnsi="宋体"/>
          <w:color w:val="000000"/>
          <w:sz w:val="18"/>
          <w:szCs w:val="18"/>
        </w:rPr>
        <w:t>合同约定对受托资金进行投资和管理。</w:t>
      </w:r>
    </w:p>
    <w:p>
      <w:pPr>
        <w:ind w:firstLine="360"/>
        <w:rPr>
          <w:rFonts w:hint="eastAsia" w:ascii="宋体" w:hAnsi="宋体"/>
          <w:sz w:val="18"/>
          <w:szCs w:val="18"/>
        </w:rPr>
      </w:pPr>
      <w:r>
        <w:rPr>
          <w:rFonts w:hint="eastAsia" w:ascii="宋体" w:hAnsi="宋体"/>
          <w:color w:val="000000"/>
          <w:sz w:val="18"/>
          <w:szCs w:val="18"/>
        </w:rPr>
        <w:t>（</w:t>
      </w:r>
      <w:r>
        <w:rPr>
          <w:rFonts w:ascii="宋体" w:hAnsi="宋体"/>
          <w:color w:val="000000"/>
          <w:sz w:val="18"/>
          <w:szCs w:val="18"/>
        </w:rPr>
        <w:t>6</w:t>
      </w:r>
      <w:r>
        <w:rPr>
          <w:rFonts w:hint="eastAsia" w:ascii="宋体" w:hAnsi="宋体"/>
          <w:color w:val="000000"/>
          <w:sz w:val="18"/>
          <w:szCs w:val="18"/>
        </w:rPr>
        <w:t>）其他与产品相关的合作机构</w:t>
      </w:r>
      <w:r>
        <w:rPr>
          <w:rFonts w:hint="eastAsia" w:ascii="宋体" w:hAnsi="宋体"/>
          <w:sz w:val="18"/>
          <w:szCs w:val="18"/>
        </w:rPr>
        <w:t>。</w:t>
      </w:r>
    </w:p>
    <w:p>
      <w:pPr>
        <w:ind w:firstLine="361" w:firstLineChars="200"/>
        <w:outlineLvl w:val="1"/>
        <w:rPr>
          <w:rFonts w:hint="eastAsia" w:ascii="宋体" w:hAnsi="宋体"/>
          <w:b/>
          <w:color w:val="000000"/>
          <w:sz w:val="18"/>
          <w:szCs w:val="18"/>
        </w:rPr>
      </w:pPr>
      <w:r>
        <w:rPr>
          <w:rFonts w:hint="eastAsia" w:ascii="宋体" w:hAnsi="宋体"/>
          <w:b/>
          <w:color w:val="000000"/>
          <w:sz w:val="18"/>
          <w:szCs w:val="18"/>
        </w:rPr>
        <w:t>（六）投资策略</w:t>
      </w:r>
    </w:p>
    <w:p>
      <w:pPr>
        <w:ind w:firstLine="360" w:firstLineChars="200"/>
        <w:rPr>
          <w:rFonts w:hint="eastAsia" w:ascii="宋体" w:hAnsi="宋体"/>
          <w:color w:val="000000"/>
          <w:sz w:val="18"/>
          <w:szCs w:val="18"/>
        </w:rPr>
      </w:pPr>
      <w:r>
        <w:rPr>
          <w:rFonts w:hint="eastAsia" w:ascii="宋体" w:hAnsi="宋体"/>
          <w:color w:val="000000"/>
          <w:sz w:val="18"/>
          <w:szCs w:val="18"/>
        </w:rPr>
        <w:t>本产品采用积极管理型的投资策略，在控制利率风险、尽量降低产品资产净值波动风险并满足流动性的前提下，力争提高产品收益。</w:t>
      </w:r>
    </w:p>
    <w:p>
      <w:pPr>
        <w:ind w:firstLine="360" w:firstLineChars="200"/>
        <w:rPr>
          <w:rFonts w:hint="eastAsia" w:ascii="宋体" w:hAnsi="宋体"/>
          <w:color w:val="000000"/>
          <w:sz w:val="18"/>
          <w:szCs w:val="18"/>
        </w:rPr>
      </w:pPr>
      <w:r>
        <w:rPr>
          <w:rFonts w:hint="eastAsia" w:ascii="宋体" w:hAnsi="宋体"/>
          <w:color w:val="000000"/>
          <w:sz w:val="18"/>
          <w:szCs w:val="18"/>
        </w:rPr>
        <w:t>1.久期策略</w:t>
      </w:r>
    </w:p>
    <w:p>
      <w:pPr>
        <w:ind w:firstLine="360" w:firstLineChars="200"/>
        <w:rPr>
          <w:rFonts w:hint="eastAsia" w:ascii="宋体" w:hAnsi="宋体"/>
          <w:color w:val="000000"/>
          <w:sz w:val="18"/>
          <w:szCs w:val="18"/>
        </w:rPr>
      </w:pPr>
      <w:r>
        <w:rPr>
          <w:rFonts w:hint="eastAsia" w:ascii="宋体" w:hAnsi="宋体"/>
          <w:color w:val="000000"/>
          <w:sz w:val="18"/>
          <w:szCs w:val="18"/>
        </w:rPr>
        <w:t>结合宏观经济运行态势及利率预测分析，本产品将动态确定并调整产品组合平均剩余期限。预测利率将进入下降通道时，适当延长投资品种的平均期限；预测市场利率将进入上升通道时，适当缩短投资品种的平均期限。</w:t>
      </w:r>
    </w:p>
    <w:p>
      <w:pPr>
        <w:ind w:firstLine="360" w:firstLineChars="200"/>
        <w:rPr>
          <w:rFonts w:hint="eastAsia" w:ascii="宋体" w:hAnsi="宋体"/>
          <w:color w:val="000000"/>
          <w:sz w:val="18"/>
          <w:szCs w:val="18"/>
        </w:rPr>
      </w:pPr>
      <w:r>
        <w:rPr>
          <w:rFonts w:hint="eastAsia" w:ascii="宋体" w:hAnsi="宋体"/>
          <w:color w:val="000000"/>
          <w:sz w:val="18"/>
          <w:szCs w:val="18"/>
        </w:rPr>
        <w:t>2.杠杆策略</w:t>
      </w:r>
    </w:p>
    <w:p>
      <w:pPr>
        <w:ind w:firstLine="360" w:firstLineChars="200"/>
        <w:rPr>
          <w:rFonts w:hint="eastAsia" w:ascii="宋体" w:hAnsi="宋体"/>
          <w:color w:val="000000"/>
          <w:sz w:val="18"/>
          <w:szCs w:val="18"/>
        </w:rPr>
      </w:pPr>
      <w:r>
        <w:rPr>
          <w:rFonts w:hint="eastAsia" w:ascii="宋体" w:hAnsi="宋体"/>
          <w:color w:val="000000"/>
          <w:sz w:val="18"/>
          <w:szCs w:val="18"/>
        </w:rPr>
        <w:t>杠杆策略即以组合现有债券为基础，利用买断式回购、质押式回购等方式融入资金，并购买剩余年限相对较长的债券，以期获取超额收益的操作方式。在回购利率过高、流动性不足、或者市场状况不宜采用放大策略等情况下，本产品将适时降低杠杆投资比例。</w:t>
      </w:r>
    </w:p>
    <w:p>
      <w:pPr>
        <w:ind w:firstLine="360" w:firstLineChars="200"/>
        <w:rPr>
          <w:rFonts w:hint="eastAsia" w:ascii="宋体" w:hAnsi="宋体"/>
          <w:color w:val="000000"/>
          <w:sz w:val="18"/>
          <w:szCs w:val="18"/>
        </w:rPr>
      </w:pPr>
      <w:r>
        <w:rPr>
          <w:rFonts w:hint="eastAsia" w:ascii="宋体" w:hAnsi="宋体"/>
          <w:color w:val="000000"/>
          <w:sz w:val="18"/>
          <w:szCs w:val="18"/>
        </w:rPr>
        <w:t>3.类属配置策略</w:t>
      </w:r>
    </w:p>
    <w:p>
      <w:pPr>
        <w:ind w:firstLine="360" w:firstLineChars="200"/>
        <w:rPr>
          <w:rFonts w:hint="eastAsia" w:ascii="宋体" w:hAnsi="宋体"/>
          <w:color w:val="000000"/>
          <w:sz w:val="18"/>
          <w:szCs w:val="18"/>
        </w:rPr>
      </w:pPr>
      <w:r>
        <w:rPr>
          <w:rFonts w:hint="eastAsia" w:ascii="宋体" w:hAnsi="宋体"/>
          <w:color w:val="000000"/>
          <w:sz w:val="18"/>
          <w:szCs w:val="18"/>
        </w:rPr>
        <w:t>在保证流动性的前提下，根据各类货币市场工具的市场规模、信用等级、流动性、市场供求、票息及付息频率等确定不同类别资产的具体配置比例。</w:t>
      </w:r>
    </w:p>
    <w:p>
      <w:pPr>
        <w:ind w:firstLine="360" w:firstLineChars="200"/>
        <w:rPr>
          <w:rFonts w:hint="eastAsia" w:ascii="宋体" w:hAnsi="宋体"/>
          <w:color w:val="000000"/>
          <w:sz w:val="18"/>
          <w:szCs w:val="18"/>
        </w:rPr>
      </w:pPr>
      <w:r>
        <w:rPr>
          <w:rFonts w:hint="eastAsia" w:ascii="宋体" w:hAnsi="宋体"/>
          <w:color w:val="000000"/>
          <w:sz w:val="18"/>
          <w:szCs w:val="18"/>
        </w:rPr>
        <w:t>4.骑乘策略</w:t>
      </w:r>
    </w:p>
    <w:p>
      <w:pPr>
        <w:ind w:firstLine="360" w:firstLineChars="200"/>
        <w:rPr>
          <w:rFonts w:hint="eastAsia" w:ascii="宋体" w:hAnsi="宋体"/>
          <w:color w:val="000000"/>
          <w:sz w:val="18"/>
          <w:szCs w:val="18"/>
        </w:rPr>
      </w:pPr>
      <w:r>
        <w:rPr>
          <w:rFonts w:hint="eastAsia" w:ascii="宋体" w:hAnsi="宋体"/>
          <w:color w:val="000000"/>
          <w:sz w:val="18"/>
          <w:szCs w:val="18"/>
        </w:rPr>
        <w:t>当市场利率期限结构向上倾斜并且相对较陡时，投资并持有债券一段时间，随着时间推移，债券剩余年限减少，市场同样年限的债券收益率较低，这时将债券按市场价格出售，可获得债券利息以及资本利得。在多数情况下，这样的操作可以获得比持有到期更高的收益。</w:t>
      </w:r>
    </w:p>
    <w:p>
      <w:pPr>
        <w:ind w:firstLine="360" w:firstLineChars="200"/>
        <w:rPr>
          <w:rFonts w:hint="eastAsia" w:ascii="宋体" w:hAnsi="宋体"/>
          <w:color w:val="000000"/>
          <w:sz w:val="18"/>
          <w:szCs w:val="18"/>
        </w:rPr>
      </w:pPr>
      <w:r>
        <w:rPr>
          <w:rFonts w:hint="eastAsia" w:ascii="宋体" w:hAnsi="宋体"/>
          <w:color w:val="000000"/>
          <w:sz w:val="18"/>
          <w:szCs w:val="18"/>
        </w:rPr>
        <w:t>5.套利策略</w:t>
      </w:r>
    </w:p>
    <w:p>
      <w:pPr>
        <w:ind w:firstLine="360" w:firstLineChars="200"/>
        <w:rPr>
          <w:rFonts w:hint="eastAsia" w:ascii="宋体" w:hAnsi="宋体"/>
          <w:color w:val="000000"/>
          <w:sz w:val="18"/>
          <w:szCs w:val="18"/>
        </w:rPr>
      </w:pPr>
      <w:r>
        <w:rPr>
          <w:rFonts w:hint="eastAsia" w:ascii="宋体" w:hAnsi="宋体"/>
          <w:color w:val="000000"/>
          <w:sz w:val="18"/>
          <w:szCs w:val="18"/>
        </w:rPr>
        <w:t>本产品根据对货币市场变动趋势、各市场和品种之间的风险收益差异的充分研究和论证，适当进行跨市场或跨品种套利操作，力争提高资产收益率，具体策略包括跨市场套利和跨期限套利等。</w:t>
      </w:r>
    </w:p>
    <w:p>
      <w:pPr>
        <w:ind w:firstLine="482" w:firstLineChars="200"/>
        <w:rPr>
          <w:rFonts w:hint="eastAsia" w:ascii="宋体" w:hAnsi="宋体"/>
          <w:b/>
          <w:bCs/>
          <w:sz w:val="24"/>
        </w:rPr>
      </w:pPr>
    </w:p>
    <w:p>
      <w:pPr>
        <w:ind w:firstLine="482" w:firstLineChars="200"/>
        <w:outlineLvl w:val="0"/>
        <w:rPr>
          <w:rFonts w:hint="eastAsia" w:ascii="宋体" w:hAnsi="宋体"/>
          <w:b/>
          <w:bCs/>
          <w:sz w:val="24"/>
        </w:rPr>
      </w:pPr>
      <w:r>
        <w:rPr>
          <w:rFonts w:hint="eastAsia" w:ascii="宋体" w:hAnsi="宋体"/>
          <w:b/>
          <w:bCs/>
          <w:sz w:val="24"/>
        </w:rPr>
        <w:t>三、产品运作说明</w:t>
      </w:r>
    </w:p>
    <w:p>
      <w:pPr>
        <w:ind w:firstLine="361" w:firstLineChars="200"/>
        <w:outlineLvl w:val="1"/>
        <w:rPr>
          <w:rFonts w:hint="eastAsia" w:ascii="宋体" w:hAnsi="宋体"/>
          <w:b/>
          <w:sz w:val="18"/>
          <w:szCs w:val="18"/>
        </w:rPr>
      </w:pPr>
      <w:r>
        <w:rPr>
          <w:rFonts w:hint="eastAsia" w:ascii="宋体" w:hAnsi="宋体"/>
          <w:b/>
          <w:sz w:val="18"/>
          <w:szCs w:val="18"/>
        </w:rPr>
        <w:t>（一）产品规模</w:t>
      </w:r>
    </w:p>
    <w:p>
      <w:pPr>
        <w:ind w:firstLine="360" w:firstLineChars="200"/>
        <w:rPr>
          <w:rFonts w:hint="eastAsia"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认购期产品规模</w:t>
      </w:r>
    </w:p>
    <w:p>
      <w:pPr>
        <w:ind w:firstLine="360" w:firstLineChars="200"/>
        <w:rPr>
          <w:rFonts w:hint="eastAsia" w:ascii="宋体" w:hAnsi="宋体"/>
          <w:color w:val="000000"/>
          <w:sz w:val="18"/>
          <w:szCs w:val="18"/>
        </w:rPr>
      </w:pPr>
      <w:r>
        <w:rPr>
          <w:rFonts w:hint="eastAsia" w:ascii="宋体" w:hAnsi="宋体"/>
          <w:color w:val="000000"/>
          <w:sz w:val="18"/>
          <w:szCs w:val="18"/>
        </w:rPr>
        <w:t>本产品认购规模上限：500亿</w:t>
      </w:r>
      <w:r>
        <w:rPr>
          <w:rFonts w:ascii="宋体" w:hAnsi="宋体"/>
          <w:color w:val="000000"/>
          <w:sz w:val="18"/>
          <w:szCs w:val="18"/>
        </w:rPr>
        <w:t>份。</w:t>
      </w:r>
      <w:r>
        <w:rPr>
          <w:rFonts w:hint="eastAsia" w:ascii="宋体" w:hAnsi="宋体"/>
          <w:b/>
          <w:color w:val="000000"/>
          <w:sz w:val="18"/>
          <w:szCs w:val="18"/>
        </w:rPr>
        <w:t>若在募集期结束之前，本产品认购总额提前达到规模上限，则产品管理人有权利但无义务停止本产品的认购。</w:t>
      </w:r>
    </w:p>
    <w:p>
      <w:pPr>
        <w:ind w:firstLine="360" w:firstLineChars="200"/>
        <w:rPr>
          <w:rFonts w:hint="eastAsia" w:ascii="宋体" w:hAnsi="宋体"/>
          <w:color w:val="000000"/>
          <w:sz w:val="18"/>
          <w:szCs w:val="18"/>
        </w:rPr>
      </w:pPr>
      <w:r>
        <w:rPr>
          <w:rFonts w:hint="eastAsia" w:ascii="宋体" w:hAnsi="宋体"/>
          <w:color w:val="000000"/>
          <w:sz w:val="18"/>
          <w:szCs w:val="18"/>
        </w:rPr>
        <w:t>本产品认购期规模下限：</w:t>
      </w:r>
      <w:r>
        <w:rPr>
          <w:rFonts w:ascii="宋体" w:hAnsi="宋体"/>
          <w:color w:val="000000"/>
          <w:sz w:val="18"/>
          <w:szCs w:val="18"/>
        </w:rPr>
        <w:t>100</w:t>
      </w:r>
      <w:r>
        <w:rPr>
          <w:rFonts w:hint="eastAsia" w:ascii="宋体" w:hAnsi="宋体"/>
          <w:color w:val="000000"/>
          <w:sz w:val="18"/>
          <w:szCs w:val="18"/>
        </w:rPr>
        <w:t>份。</w:t>
      </w:r>
      <w:r>
        <w:rPr>
          <w:rFonts w:hint="eastAsia" w:ascii="宋体" w:hAnsi="宋体"/>
          <w:b/>
          <w:color w:val="000000"/>
          <w:sz w:val="18"/>
          <w:szCs w:val="18"/>
        </w:rPr>
        <w:t>如本产品募集期届满，认购份额低于</w:t>
      </w:r>
      <w:r>
        <w:rPr>
          <w:rFonts w:ascii="宋体" w:hAnsi="宋体"/>
          <w:b/>
          <w:color w:val="000000"/>
          <w:sz w:val="18"/>
          <w:szCs w:val="18"/>
        </w:rPr>
        <w:t>100</w:t>
      </w:r>
      <w:r>
        <w:rPr>
          <w:rFonts w:hint="eastAsia" w:ascii="宋体" w:hAnsi="宋体"/>
          <w:b/>
          <w:color w:val="000000"/>
          <w:sz w:val="18"/>
          <w:szCs w:val="18"/>
        </w:rPr>
        <w:t>份，产品管理人有权利但无义务宣布本产品不成立。</w:t>
      </w:r>
    </w:p>
    <w:p>
      <w:pPr>
        <w:ind w:firstLine="360" w:firstLineChars="200"/>
        <w:rPr>
          <w:rFonts w:hint="eastAsia" w:ascii="宋体" w:hAnsi="宋体"/>
          <w:color w:val="000000"/>
          <w:sz w:val="18"/>
          <w:szCs w:val="18"/>
        </w:rPr>
      </w:pPr>
      <w:r>
        <w:rPr>
          <w:rFonts w:ascii="宋体" w:hAnsi="宋体"/>
          <w:color w:val="000000"/>
          <w:sz w:val="18"/>
          <w:szCs w:val="18"/>
        </w:rPr>
        <w:t>2.</w:t>
      </w:r>
      <w:r>
        <w:rPr>
          <w:rFonts w:hint="eastAsia" w:ascii="宋体" w:hAnsi="宋体"/>
          <w:color w:val="000000"/>
          <w:sz w:val="18"/>
          <w:szCs w:val="18"/>
        </w:rPr>
        <w:t>存续期产品规模</w:t>
      </w:r>
    </w:p>
    <w:p>
      <w:pPr>
        <w:ind w:firstLine="360" w:firstLineChars="200"/>
        <w:rPr>
          <w:rFonts w:hint="eastAsia" w:ascii="宋体" w:hAnsi="宋体"/>
          <w:color w:val="000000"/>
          <w:sz w:val="18"/>
          <w:szCs w:val="18"/>
        </w:rPr>
      </w:pPr>
      <w:r>
        <w:rPr>
          <w:rFonts w:hint="eastAsia" w:ascii="宋体" w:hAnsi="宋体"/>
          <w:color w:val="000000"/>
          <w:sz w:val="18"/>
          <w:szCs w:val="18"/>
        </w:rPr>
        <w:t>本产品存续期规模上限：500亿</w:t>
      </w:r>
      <w:r>
        <w:rPr>
          <w:rFonts w:ascii="宋体" w:hAnsi="宋体"/>
          <w:color w:val="000000"/>
          <w:sz w:val="18"/>
          <w:szCs w:val="18"/>
        </w:rPr>
        <w:t>份。</w:t>
      </w:r>
      <w:r>
        <w:rPr>
          <w:rFonts w:hint="eastAsia" w:ascii="宋体" w:hAnsi="宋体"/>
          <w:b/>
          <w:color w:val="000000"/>
          <w:sz w:val="18"/>
          <w:szCs w:val="18"/>
        </w:rPr>
        <w:t>若在产品存续期内，本产品申购份额与存续份额的总额达到规模上限，则产品管理人有权利但无义务暂停本产品的申购。</w:t>
      </w:r>
    </w:p>
    <w:p>
      <w:pPr>
        <w:ind w:firstLine="360" w:firstLineChars="200"/>
        <w:rPr>
          <w:rFonts w:hint="eastAsia" w:ascii="宋体" w:hAnsi="宋体"/>
          <w:color w:val="000000"/>
          <w:sz w:val="18"/>
          <w:szCs w:val="18"/>
        </w:rPr>
      </w:pPr>
      <w:r>
        <w:rPr>
          <w:rFonts w:hint="eastAsia" w:ascii="宋体" w:hAnsi="宋体"/>
          <w:color w:val="000000"/>
          <w:sz w:val="18"/>
          <w:szCs w:val="18"/>
        </w:rPr>
        <w:t>本产品存续期规模下限：2亿份。</w:t>
      </w:r>
      <w:r>
        <w:rPr>
          <w:rFonts w:hint="eastAsia" w:ascii="宋体" w:hAnsi="宋体"/>
          <w:b/>
          <w:color w:val="000000"/>
          <w:sz w:val="18"/>
          <w:szCs w:val="18"/>
        </w:rPr>
        <w:t>如本产品存续期内，产品规模低于2亿份，产品管理人有权利但无义务宣布本产品提前终止。</w:t>
      </w:r>
    </w:p>
    <w:p>
      <w:pPr>
        <w:ind w:firstLine="361" w:firstLineChars="200"/>
        <w:outlineLvl w:val="1"/>
        <w:rPr>
          <w:rFonts w:hint="eastAsia" w:ascii="宋体" w:hAnsi="宋体"/>
          <w:b/>
          <w:sz w:val="18"/>
          <w:szCs w:val="18"/>
        </w:rPr>
      </w:pPr>
      <w:r>
        <w:rPr>
          <w:rFonts w:hint="eastAsia" w:ascii="宋体" w:hAnsi="宋体"/>
          <w:b/>
          <w:sz w:val="18"/>
          <w:szCs w:val="18"/>
        </w:rPr>
        <w:t>（二）产品认购</w:t>
      </w:r>
    </w:p>
    <w:p>
      <w:pPr>
        <w:ind w:firstLine="360"/>
        <w:rPr>
          <w:rFonts w:hint="eastAsia" w:ascii="宋体" w:hAnsi="宋体"/>
          <w:color w:val="000000"/>
          <w:sz w:val="18"/>
          <w:szCs w:val="18"/>
        </w:rPr>
      </w:pPr>
      <w:r>
        <w:rPr>
          <w:rFonts w:hint="eastAsia" w:ascii="宋体" w:hAnsi="宋体" w:cs="宋体"/>
          <w:sz w:val="18"/>
          <w:szCs w:val="18"/>
          <w:lang w:val="en-US" w:eastAsia="zh-CN" w:bidi="ar"/>
        </w:rPr>
        <w:t>1</w:t>
      </w:r>
      <w:r>
        <w:rPr>
          <w:rFonts w:ascii="宋体" w:hAnsi="宋体"/>
          <w:color w:val="000000"/>
          <w:sz w:val="18"/>
          <w:szCs w:val="18"/>
        </w:rPr>
        <w:t>.</w:t>
      </w:r>
      <w:r>
        <w:rPr>
          <w:rFonts w:hint="eastAsia" w:ascii="宋体" w:hAnsi="宋体"/>
          <w:color w:val="000000"/>
          <w:sz w:val="18"/>
          <w:szCs w:val="18"/>
        </w:rPr>
        <w:t>在产品募集期内，投资者认购本产品，应提前将理财资金存入投资者约定交易账户，资金扣划规则及认购资金是否计息以代销机构为准。</w:t>
      </w:r>
    </w:p>
    <w:p>
      <w:pPr>
        <w:ind w:firstLine="360"/>
        <w:rPr>
          <w:rFonts w:hint="eastAsia" w:ascii="宋体" w:hAnsi="宋体"/>
          <w:color w:val="000000"/>
          <w:sz w:val="18"/>
          <w:szCs w:val="18"/>
        </w:rPr>
      </w:pPr>
      <w:r>
        <w:rPr>
          <w:rFonts w:hint="eastAsia" w:ascii="宋体" w:hAnsi="宋体"/>
          <w:color w:val="000000"/>
          <w:sz w:val="18"/>
          <w:szCs w:val="18"/>
          <w:lang w:val="en-US" w:eastAsia="zh-CN"/>
        </w:rPr>
        <w:t>2</w:t>
      </w:r>
      <w:r>
        <w:rPr>
          <w:rFonts w:ascii="宋体" w:hAnsi="宋体"/>
          <w:color w:val="000000"/>
          <w:sz w:val="18"/>
          <w:szCs w:val="18"/>
        </w:rPr>
        <w:t>.</w:t>
      </w:r>
      <w:r>
        <w:rPr>
          <w:rFonts w:hint="eastAsia" w:ascii="宋体" w:hAnsi="宋体"/>
          <w:color w:val="000000"/>
          <w:sz w:val="18"/>
          <w:szCs w:val="18"/>
        </w:rPr>
        <w:t>募集期内认购本产品的，投资者约定交易账户内的资金从产品成立日开始参与到本理财产品中。</w:t>
      </w:r>
    </w:p>
    <w:p>
      <w:pPr>
        <w:ind w:firstLine="360"/>
        <w:rPr>
          <w:rFonts w:hint="eastAsia" w:ascii="宋体" w:hAnsi="宋体"/>
          <w:b/>
          <w:bCs/>
          <w:color w:val="000000"/>
          <w:sz w:val="18"/>
          <w:szCs w:val="18"/>
        </w:rPr>
      </w:pPr>
      <w:r>
        <w:rPr>
          <w:rFonts w:hint="eastAsia" w:ascii="宋体" w:hAnsi="宋体"/>
          <w:b/>
          <w:bCs/>
          <w:color w:val="000000"/>
          <w:sz w:val="18"/>
          <w:szCs w:val="18"/>
          <w:lang w:val="en-US" w:eastAsia="zh-CN"/>
        </w:rPr>
        <w:t>3</w:t>
      </w:r>
      <w:r>
        <w:rPr>
          <w:rFonts w:ascii="宋体" w:hAnsi="宋体"/>
          <w:b/>
          <w:bCs/>
          <w:color w:val="000000"/>
          <w:sz w:val="18"/>
          <w:szCs w:val="18"/>
        </w:rPr>
        <w:t>.</w:t>
      </w:r>
      <w:r>
        <w:rPr>
          <w:rFonts w:hint="eastAsia" w:ascii="宋体" w:hAnsi="宋体"/>
          <w:b/>
          <w:bCs/>
          <w:color w:val="000000"/>
          <w:sz w:val="18"/>
          <w:szCs w:val="18"/>
        </w:rPr>
        <w:t>若出现如下情况之一，产品管理人有权利但无义务决定本产品不成立：</w:t>
      </w:r>
    </w:p>
    <w:p>
      <w:pPr>
        <w:ind w:firstLine="360"/>
        <w:rPr>
          <w:rFonts w:hint="eastAsia" w:ascii="宋体" w:hAnsi="宋体"/>
          <w:color w:val="000000"/>
          <w:sz w:val="18"/>
          <w:szCs w:val="18"/>
          <w:u w:val="single"/>
        </w:rPr>
      </w:pPr>
      <w:r>
        <w:rPr>
          <w:rFonts w:hint="eastAsia" w:ascii="宋体" w:hAnsi="宋体"/>
          <w:color w:val="000000"/>
          <w:sz w:val="18"/>
          <w:szCs w:val="18"/>
          <w:u w:val="single"/>
        </w:rPr>
        <w:t>（</w:t>
      </w:r>
      <w:r>
        <w:rPr>
          <w:rFonts w:ascii="宋体" w:hAnsi="宋体"/>
          <w:color w:val="000000"/>
          <w:sz w:val="18"/>
          <w:szCs w:val="18"/>
          <w:u w:val="single"/>
        </w:rPr>
        <w:t>1）认购总份额未达规模下限；</w:t>
      </w:r>
    </w:p>
    <w:p>
      <w:pPr>
        <w:ind w:firstLine="360"/>
        <w:rPr>
          <w:rFonts w:hint="eastAsia" w:ascii="宋体" w:hAnsi="宋体"/>
          <w:color w:val="000000"/>
          <w:sz w:val="18"/>
          <w:szCs w:val="18"/>
          <w:u w:val="single"/>
        </w:rPr>
      </w:pPr>
      <w:r>
        <w:rPr>
          <w:rFonts w:hint="eastAsia" w:ascii="宋体" w:hAnsi="宋体"/>
          <w:color w:val="000000"/>
          <w:sz w:val="18"/>
          <w:szCs w:val="18"/>
          <w:u w:val="single"/>
        </w:rPr>
        <w:t>（</w:t>
      </w:r>
      <w:r>
        <w:rPr>
          <w:rFonts w:ascii="宋体" w:hAnsi="宋体"/>
          <w:color w:val="000000"/>
          <w:sz w:val="18"/>
          <w:szCs w:val="18"/>
          <w:u w:val="single"/>
        </w:rPr>
        <w:t>2）相关法律法规或监管规定或政策发生变化；</w:t>
      </w:r>
    </w:p>
    <w:p>
      <w:pPr>
        <w:ind w:firstLine="360"/>
        <w:rPr>
          <w:rFonts w:hint="eastAsia" w:ascii="宋体" w:hAnsi="宋体"/>
          <w:color w:val="000000"/>
          <w:sz w:val="18"/>
          <w:szCs w:val="18"/>
          <w:u w:val="single"/>
        </w:rPr>
      </w:pPr>
      <w:r>
        <w:rPr>
          <w:rFonts w:hint="eastAsia" w:ascii="宋体" w:hAnsi="宋体"/>
          <w:color w:val="000000"/>
          <w:sz w:val="18"/>
          <w:szCs w:val="18"/>
          <w:u w:val="single"/>
        </w:rPr>
        <w:t>（</w:t>
      </w:r>
      <w:r>
        <w:rPr>
          <w:rFonts w:ascii="宋体" w:hAnsi="宋体"/>
          <w:color w:val="000000"/>
          <w:sz w:val="18"/>
          <w:szCs w:val="18"/>
          <w:u w:val="single"/>
        </w:rPr>
        <w:t>3）可能影响产品正常成立或运作的其他情况；</w:t>
      </w:r>
    </w:p>
    <w:p>
      <w:pPr>
        <w:ind w:firstLine="360"/>
        <w:rPr>
          <w:rFonts w:hint="eastAsia" w:ascii="宋体" w:hAnsi="宋体"/>
          <w:color w:val="000000"/>
          <w:sz w:val="18"/>
          <w:szCs w:val="18"/>
          <w:u w:val="single"/>
        </w:rPr>
      </w:pPr>
      <w:r>
        <w:rPr>
          <w:rFonts w:hint="eastAsia" w:ascii="宋体" w:hAnsi="宋体"/>
          <w:color w:val="000000"/>
          <w:sz w:val="18"/>
          <w:szCs w:val="18"/>
          <w:u w:val="single"/>
        </w:rPr>
        <w:t>（</w:t>
      </w:r>
      <w:r>
        <w:rPr>
          <w:rFonts w:ascii="宋体" w:hAnsi="宋体"/>
          <w:color w:val="000000"/>
          <w:sz w:val="18"/>
          <w:szCs w:val="18"/>
          <w:u w:val="single"/>
        </w:rPr>
        <w:t>4）产品管理人根据实际情况合理判断不适宜产品成立或运作的</w:t>
      </w:r>
      <w:r>
        <w:rPr>
          <w:rFonts w:hint="eastAsia" w:ascii="宋体" w:hAnsi="宋体"/>
          <w:color w:val="000000"/>
          <w:sz w:val="18"/>
          <w:szCs w:val="18"/>
          <w:u w:val="single"/>
        </w:rPr>
        <w:t>；</w:t>
      </w:r>
    </w:p>
    <w:p>
      <w:pPr>
        <w:ind w:firstLine="360" w:firstLineChars="200"/>
        <w:rPr>
          <w:rFonts w:hint="eastAsia" w:ascii="宋体" w:hAnsi="宋体"/>
          <w:b/>
          <w:sz w:val="18"/>
          <w:szCs w:val="18"/>
        </w:rPr>
      </w:pPr>
      <w:r>
        <w:rPr>
          <w:rFonts w:hint="eastAsia" w:ascii="宋体" w:hAnsi="宋体"/>
          <w:color w:val="000000"/>
          <w:sz w:val="18"/>
          <w:szCs w:val="18"/>
          <w:u w:val="single"/>
        </w:rPr>
        <w:t>（5</w:t>
      </w:r>
      <w:r>
        <w:rPr>
          <w:rFonts w:ascii="宋体" w:hAnsi="宋体"/>
          <w:color w:val="000000"/>
          <w:sz w:val="18"/>
          <w:szCs w:val="18"/>
          <w:u w:val="single"/>
        </w:rPr>
        <w:t>）</w:t>
      </w:r>
      <w:r>
        <w:rPr>
          <w:rFonts w:hint="eastAsia" w:ascii="宋体" w:hAnsi="宋体"/>
          <w:color w:val="000000"/>
          <w:sz w:val="18"/>
          <w:szCs w:val="18"/>
          <w:u w:val="single"/>
        </w:rPr>
        <w:t>法律、法规或相关监管机构认定的其他情形。</w:t>
      </w:r>
    </w:p>
    <w:p>
      <w:pPr>
        <w:ind w:firstLine="361" w:firstLineChars="200"/>
        <w:outlineLvl w:val="1"/>
        <w:rPr>
          <w:rFonts w:hint="eastAsia" w:ascii="宋体" w:hAnsi="宋体"/>
          <w:b/>
          <w:sz w:val="18"/>
          <w:szCs w:val="18"/>
        </w:rPr>
      </w:pPr>
      <w:r>
        <w:rPr>
          <w:rFonts w:hint="eastAsia" w:ascii="宋体" w:hAnsi="宋体"/>
          <w:b/>
          <w:sz w:val="18"/>
          <w:szCs w:val="18"/>
        </w:rPr>
        <w:t>（三）产品成立</w:t>
      </w:r>
    </w:p>
    <w:p>
      <w:pPr>
        <w:spacing w:after="93" w:afterLines="30"/>
        <w:ind w:firstLine="360"/>
        <w:rPr>
          <w:rFonts w:hint="eastAsia" w:ascii="宋体" w:hAnsi="宋体" w:cs="宋体"/>
          <w:b/>
          <w:bCs/>
          <w:sz w:val="18"/>
          <w:szCs w:val="18"/>
          <w:lang w:bidi="ar"/>
        </w:rPr>
      </w:pPr>
      <w:r>
        <w:rPr>
          <w:rFonts w:hint="eastAsia" w:ascii="宋体" w:hAnsi="宋体" w:cs="宋体"/>
          <w:b/>
          <w:bCs/>
          <w:sz w:val="18"/>
          <w:szCs w:val="18"/>
          <w:lang w:bidi="ar"/>
        </w:rPr>
        <w:t>1.产品管理人有权根据市场情况缩短或延长募集期，根据募集期调整成立日。</w:t>
      </w:r>
    </w:p>
    <w:p>
      <w:pPr>
        <w:spacing w:after="93" w:afterLines="30"/>
        <w:ind w:firstLine="360"/>
        <w:rPr>
          <w:rFonts w:hint="eastAsia" w:ascii="宋体" w:hAnsi="宋体" w:cs="宋体"/>
          <w:b/>
          <w:bCs/>
          <w:sz w:val="18"/>
          <w:szCs w:val="18"/>
          <w:lang w:bidi="ar"/>
        </w:rPr>
      </w:pPr>
      <w:r>
        <w:rPr>
          <w:rFonts w:hint="eastAsia" w:ascii="宋体" w:hAnsi="宋体" w:cs="宋体"/>
          <w:b/>
          <w:bCs/>
          <w:sz w:val="18"/>
          <w:szCs w:val="18"/>
          <w:lang w:bidi="ar"/>
        </w:rPr>
        <w:t>2.若出现如下情况之一，产品管理人有权利但无义务决定本产品不成立：</w:t>
      </w:r>
    </w:p>
    <w:p>
      <w:pPr>
        <w:spacing w:after="93" w:afterLines="30"/>
        <w:ind w:firstLine="360"/>
        <w:rPr>
          <w:rFonts w:hint="eastAsia" w:ascii="宋体" w:hAnsi="宋体" w:cs="宋体"/>
          <w:sz w:val="18"/>
          <w:szCs w:val="18"/>
          <w:lang w:bidi="ar"/>
        </w:rPr>
      </w:pPr>
      <w:r>
        <w:rPr>
          <w:rFonts w:hint="eastAsia" w:ascii="宋体" w:hAnsi="宋体" w:cs="宋体"/>
          <w:sz w:val="18"/>
          <w:szCs w:val="18"/>
          <w:lang w:bidi="ar"/>
        </w:rPr>
        <w:t>（1）认购总份额未达规模下限。</w:t>
      </w:r>
    </w:p>
    <w:p>
      <w:pPr>
        <w:spacing w:after="93" w:afterLines="30"/>
        <w:ind w:firstLine="360"/>
        <w:rPr>
          <w:rFonts w:hint="eastAsia" w:ascii="宋体" w:hAnsi="宋体" w:cs="宋体"/>
          <w:sz w:val="18"/>
          <w:szCs w:val="18"/>
          <w:lang w:bidi="ar"/>
        </w:rPr>
      </w:pPr>
      <w:r>
        <w:rPr>
          <w:rFonts w:hint="eastAsia" w:ascii="宋体" w:hAnsi="宋体" w:cs="宋体"/>
          <w:sz w:val="18"/>
          <w:szCs w:val="18"/>
          <w:lang w:bidi="ar"/>
        </w:rPr>
        <w:t>（2）相关法律法规或监管规定或政策发生变化。</w:t>
      </w:r>
    </w:p>
    <w:p>
      <w:pPr>
        <w:spacing w:after="93" w:afterLines="30"/>
        <w:ind w:firstLine="360"/>
        <w:rPr>
          <w:rFonts w:hint="eastAsia" w:ascii="宋体" w:hAnsi="宋体" w:cs="宋体"/>
          <w:sz w:val="18"/>
          <w:szCs w:val="18"/>
          <w:lang w:bidi="ar"/>
        </w:rPr>
      </w:pPr>
      <w:r>
        <w:rPr>
          <w:rFonts w:hint="eastAsia" w:ascii="宋体" w:hAnsi="宋体" w:cs="宋体"/>
          <w:sz w:val="18"/>
          <w:szCs w:val="18"/>
          <w:lang w:bidi="ar"/>
        </w:rPr>
        <w:t>（3）可能影响产品正常成立或运作的其他情况。</w:t>
      </w:r>
    </w:p>
    <w:p>
      <w:pPr>
        <w:spacing w:after="93" w:afterLines="30"/>
        <w:ind w:firstLine="360"/>
        <w:rPr>
          <w:rFonts w:hint="eastAsia" w:ascii="宋体" w:hAnsi="宋体" w:cs="宋体"/>
          <w:sz w:val="18"/>
          <w:szCs w:val="18"/>
          <w:lang w:bidi="ar"/>
        </w:rPr>
      </w:pPr>
      <w:r>
        <w:rPr>
          <w:rFonts w:hint="eastAsia" w:ascii="宋体" w:hAnsi="宋体" w:cs="宋体"/>
          <w:sz w:val="18"/>
          <w:szCs w:val="18"/>
          <w:lang w:bidi="ar"/>
        </w:rPr>
        <w:t>（4）产品管理人根据实际情况合理判断不适宜产品成立或运作的。</w:t>
      </w:r>
    </w:p>
    <w:p>
      <w:pPr>
        <w:spacing w:after="93" w:afterLines="30"/>
        <w:ind w:firstLine="360"/>
        <w:rPr>
          <w:rFonts w:hint="eastAsia" w:ascii="宋体" w:hAnsi="宋体" w:cs="宋体"/>
          <w:sz w:val="18"/>
          <w:szCs w:val="18"/>
          <w:lang w:bidi="ar"/>
        </w:rPr>
      </w:pPr>
      <w:r>
        <w:rPr>
          <w:rFonts w:hint="eastAsia" w:ascii="宋体" w:hAnsi="宋体" w:cs="宋体"/>
          <w:sz w:val="18"/>
          <w:szCs w:val="18"/>
          <w:lang w:bidi="ar"/>
        </w:rPr>
        <w:t>若有投资者购买了本产品且本产品不成立，产品管理人最晚于产品计划成立日对产品不成立进行信息披露，在募集期结束后5个工作日内，投资者认购资金将返还至投资者约定交易账户，在途期间投资者认购资金是否计息以代销机构为准。</w:t>
      </w:r>
    </w:p>
    <w:p>
      <w:pPr>
        <w:spacing w:after="93" w:afterLines="30"/>
        <w:ind w:firstLine="360"/>
        <w:rPr>
          <w:rFonts w:hint="eastAsia" w:ascii="宋体" w:hAnsi="宋体" w:cs="宋体"/>
          <w:sz w:val="18"/>
          <w:szCs w:val="18"/>
          <w:lang w:bidi="ar"/>
        </w:rPr>
      </w:pPr>
      <w:r>
        <w:rPr>
          <w:rFonts w:hint="eastAsia" w:ascii="宋体" w:hAnsi="宋体" w:cs="宋体"/>
          <w:sz w:val="18"/>
          <w:szCs w:val="18"/>
          <w:lang w:bidi="ar"/>
        </w:rPr>
        <w:t>3.产品成立日不支持产品申购、赎回。</w:t>
      </w:r>
    </w:p>
    <w:p>
      <w:pPr>
        <w:ind w:firstLine="361" w:firstLineChars="200"/>
        <w:outlineLvl w:val="1"/>
        <w:rPr>
          <w:rFonts w:hint="eastAsia" w:ascii="宋体" w:hAnsi="宋体"/>
          <w:b/>
          <w:sz w:val="18"/>
          <w:szCs w:val="18"/>
        </w:rPr>
      </w:pPr>
      <w:r>
        <w:rPr>
          <w:rFonts w:hint="eastAsia" w:ascii="宋体" w:hAnsi="宋体"/>
          <w:b/>
          <w:sz w:val="18"/>
          <w:szCs w:val="18"/>
        </w:rPr>
        <w:t>（四）产品申购</w:t>
      </w:r>
    </w:p>
    <w:p>
      <w:pPr>
        <w:ind w:firstLine="360" w:firstLineChars="200"/>
        <w:rPr>
          <w:rFonts w:hint="eastAsia" w:ascii="宋体" w:hAnsi="宋体"/>
          <w:color w:val="000000"/>
          <w:sz w:val="18"/>
          <w:szCs w:val="18"/>
        </w:rPr>
      </w:pPr>
      <w:r>
        <w:rPr>
          <w:rFonts w:hint="eastAsia" w:ascii="宋体" w:hAnsi="宋体"/>
          <w:color w:val="000000"/>
          <w:sz w:val="18"/>
          <w:szCs w:val="18"/>
        </w:rPr>
        <w:t>1.本产品以金额申购。</w:t>
      </w:r>
    </w:p>
    <w:p>
      <w:pPr>
        <w:ind w:firstLine="360" w:firstLineChars="200"/>
        <w:rPr>
          <w:rFonts w:hint="eastAsia" w:ascii="宋体" w:hAnsi="宋体"/>
          <w:color w:val="000000"/>
          <w:sz w:val="18"/>
          <w:szCs w:val="18"/>
        </w:rPr>
      </w:pPr>
      <w:r>
        <w:rPr>
          <w:rFonts w:hint="eastAsia" w:ascii="宋体" w:hAnsi="宋体"/>
          <w:color w:val="000000"/>
          <w:sz w:val="18"/>
          <w:szCs w:val="18"/>
        </w:rPr>
        <w:t>2.投资者申购本产品，应提前将理财资金存入投资者约定交易账户。资金扣划规则以及申购资金是否计息以代销机构为准。</w:t>
      </w:r>
    </w:p>
    <w:p>
      <w:pPr>
        <w:ind w:firstLine="360" w:firstLineChars="200"/>
        <w:rPr>
          <w:rFonts w:hint="eastAsia" w:ascii="宋体" w:hAnsi="宋体"/>
          <w:color w:val="000000"/>
          <w:sz w:val="18"/>
          <w:szCs w:val="18"/>
        </w:rPr>
      </w:pPr>
      <w:r>
        <w:rPr>
          <w:rFonts w:hint="eastAsia" w:ascii="宋体" w:hAnsi="宋体"/>
          <w:color w:val="000000"/>
          <w:sz w:val="18"/>
          <w:szCs w:val="18"/>
        </w:rPr>
        <w:t>3.产品管理人于申购开放日后第一个工作日（T+1日）对申购的有效性进行确认。若申购不成功，申购资金将于确认日后3个工作日内返还至投资者约定交易账户。</w:t>
      </w:r>
    </w:p>
    <w:p>
      <w:pPr>
        <w:ind w:firstLine="360" w:firstLineChars="200"/>
        <w:rPr>
          <w:rFonts w:hint="eastAsia" w:ascii="宋体" w:hAnsi="宋体"/>
          <w:color w:val="000000"/>
          <w:sz w:val="18"/>
          <w:szCs w:val="18"/>
        </w:rPr>
      </w:pPr>
      <w:r>
        <w:rPr>
          <w:rFonts w:ascii="宋体" w:hAnsi="宋体"/>
          <w:color w:val="000000"/>
          <w:sz w:val="18"/>
          <w:szCs w:val="18"/>
        </w:rPr>
        <w:t>4.</w:t>
      </w:r>
      <w:r>
        <w:rPr>
          <w:rFonts w:hint="eastAsia" w:ascii="宋体" w:hAnsi="宋体"/>
          <w:b/>
          <w:bCs/>
          <w:color w:val="000000"/>
          <w:sz w:val="18"/>
          <w:szCs w:val="18"/>
        </w:rPr>
        <w:t>为了保护产品份额持有人的利益，保障理财产品的平稳运行，产品管理人有权设定本产品单日申购额度，即单日实际申购达到设定额度时，单日不再受理申购申请。</w:t>
      </w:r>
    </w:p>
    <w:p>
      <w:pPr>
        <w:ind w:firstLine="361" w:firstLineChars="200"/>
        <w:rPr>
          <w:rFonts w:hint="eastAsia" w:ascii="宋体" w:hAnsi="宋体"/>
          <w:sz w:val="18"/>
          <w:szCs w:val="18"/>
        </w:rPr>
      </w:pPr>
      <w:r>
        <w:rPr>
          <w:rFonts w:ascii="宋体" w:hAnsi="宋体"/>
          <w:b/>
          <w:sz w:val="18"/>
          <w:szCs w:val="18"/>
        </w:rPr>
        <w:t>5.</w:t>
      </w:r>
      <w:r>
        <w:rPr>
          <w:rFonts w:hint="eastAsia" w:ascii="宋体" w:hAnsi="宋体"/>
          <w:b/>
          <w:sz w:val="18"/>
          <w:szCs w:val="18"/>
        </w:rPr>
        <w:t>单个投资者持仓比例限制：</w:t>
      </w:r>
      <w:r>
        <w:rPr>
          <w:rFonts w:hint="eastAsia" w:ascii="宋体" w:hAnsi="宋体"/>
          <w:sz w:val="18"/>
          <w:szCs w:val="18"/>
          <w:u w:val="single"/>
        </w:rPr>
        <w:t>在产品存续期内，单个投资者持有份额不超过产品总份额的5</w:t>
      </w:r>
      <w:r>
        <w:rPr>
          <w:rFonts w:ascii="宋体" w:hAnsi="宋体"/>
          <w:sz w:val="18"/>
          <w:szCs w:val="18"/>
          <w:u w:val="single"/>
        </w:rPr>
        <w:t>0</w:t>
      </w:r>
      <w:r>
        <w:rPr>
          <w:rFonts w:hint="eastAsia" w:ascii="宋体" w:hAnsi="宋体"/>
          <w:sz w:val="18"/>
          <w:szCs w:val="18"/>
          <w:u w:val="single"/>
        </w:rPr>
        <w:t>%，非因产品管理人主观因素导致单个投资者持有比例突破5</w:t>
      </w:r>
      <w:r>
        <w:rPr>
          <w:rFonts w:ascii="宋体" w:hAnsi="宋体"/>
          <w:sz w:val="18"/>
          <w:szCs w:val="18"/>
          <w:u w:val="single"/>
        </w:rPr>
        <w:t>0</w:t>
      </w:r>
      <w:r>
        <w:rPr>
          <w:rFonts w:hint="eastAsia" w:ascii="宋体" w:hAnsi="宋体"/>
          <w:sz w:val="18"/>
          <w:szCs w:val="18"/>
          <w:u w:val="single"/>
        </w:rPr>
        <w:t>%的，在单个投资者持有比例降至50%以下之前，产品管理人不再接受该投资者对本产品的申购申请。</w:t>
      </w:r>
    </w:p>
    <w:p>
      <w:pPr>
        <w:ind w:firstLine="361" w:firstLineChars="200"/>
        <w:rPr>
          <w:rFonts w:hint="eastAsia" w:ascii="宋体" w:hAnsi="宋体"/>
          <w:b/>
          <w:sz w:val="18"/>
          <w:szCs w:val="18"/>
        </w:rPr>
      </w:pPr>
      <w:r>
        <w:rPr>
          <w:rFonts w:ascii="宋体" w:hAnsi="宋体"/>
          <w:b/>
          <w:sz w:val="18"/>
          <w:szCs w:val="18"/>
        </w:rPr>
        <w:t>6.</w:t>
      </w:r>
      <w:r>
        <w:rPr>
          <w:rFonts w:hint="eastAsia" w:ascii="宋体" w:hAnsi="宋体"/>
          <w:b/>
          <w:sz w:val="18"/>
          <w:szCs w:val="18"/>
        </w:rPr>
        <w:t>若出现如下情况之一，产品管理人有权利但无义务拒绝或暂停接受投资者的申购申请：</w:t>
      </w:r>
    </w:p>
    <w:p>
      <w:pPr>
        <w:ind w:firstLine="402"/>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1）因不可抗力导致产品管理人无法接受投资者申购申请；</w:t>
      </w:r>
    </w:p>
    <w:p>
      <w:pPr>
        <w:ind w:firstLine="402"/>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2）超出单</w:t>
      </w:r>
      <w:r>
        <w:rPr>
          <w:rFonts w:hint="eastAsia" w:ascii="宋体" w:hAnsi="宋体"/>
          <w:sz w:val="18"/>
          <w:szCs w:val="18"/>
          <w:u w:val="single"/>
        </w:rPr>
        <w:t>个投资者单笔</w:t>
      </w:r>
      <w:r>
        <w:rPr>
          <w:rFonts w:ascii="宋体" w:hAnsi="宋体"/>
          <w:sz w:val="18"/>
          <w:szCs w:val="18"/>
          <w:u w:val="single"/>
        </w:rPr>
        <w:t>申购限制</w:t>
      </w:r>
      <w:r>
        <w:rPr>
          <w:rFonts w:hint="eastAsia" w:ascii="宋体" w:hAnsi="宋体"/>
          <w:sz w:val="18"/>
          <w:szCs w:val="18"/>
          <w:u w:val="single"/>
        </w:rPr>
        <w:t>、单个投资者单日累计申购限制、单个投资者持仓份额限制或单个投资者</w:t>
      </w:r>
      <w:r>
        <w:rPr>
          <w:rFonts w:ascii="宋体" w:hAnsi="宋体"/>
          <w:sz w:val="18"/>
          <w:szCs w:val="18"/>
          <w:u w:val="single"/>
        </w:rPr>
        <w:t>持仓比例限制</w:t>
      </w:r>
      <w:r>
        <w:rPr>
          <w:rFonts w:hint="eastAsia" w:ascii="宋体" w:hAnsi="宋体"/>
          <w:sz w:val="18"/>
          <w:szCs w:val="18"/>
          <w:u w:val="single"/>
        </w:rPr>
        <w:t>（如有）；</w:t>
      </w:r>
    </w:p>
    <w:p>
      <w:pPr>
        <w:ind w:firstLine="402"/>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3</w:t>
      </w:r>
      <w:r>
        <w:rPr>
          <w:rFonts w:hint="eastAsia" w:ascii="宋体" w:hAnsi="宋体"/>
          <w:sz w:val="18"/>
          <w:szCs w:val="18"/>
          <w:u w:val="single"/>
        </w:rPr>
        <w:t>）发生本产品说明书约定的暂停产品资产估值的情况；</w:t>
      </w:r>
    </w:p>
    <w:p>
      <w:pPr>
        <w:ind w:firstLine="402"/>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4</w:t>
      </w:r>
      <w:r>
        <w:rPr>
          <w:rFonts w:hint="eastAsia" w:ascii="宋体" w:hAnsi="宋体"/>
          <w:sz w:val="18"/>
          <w:szCs w:val="18"/>
          <w:u w:val="single"/>
        </w:rPr>
        <w:t>）</w:t>
      </w:r>
      <w:r>
        <w:rPr>
          <w:rFonts w:hint="eastAsia"/>
          <w:sz w:val="18"/>
          <w:szCs w:val="18"/>
          <w:u w:val="single"/>
        </w:rPr>
        <w:t>接受某笔或某些申购申请可能会影响或损害存量产品份额持有人利益或对存量产品份额持有人利益构成潜在重大不利影响</w:t>
      </w:r>
      <w:r>
        <w:rPr>
          <w:rFonts w:hint="eastAsia" w:ascii="宋体" w:hAnsi="宋体"/>
          <w:sz w:val="18"/>
          <w:szCs w:val="18"/>
          <w:u w:val="single"/>
        </w:rPr>
        <w:t>；</w:t>
      </w:r>
    </w:p>
    <w:p>
      <w:pPr>
        <w:ind w:firstLine="402"/>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5</w:t>
      </w:r>
      <w:r>
        <w:rPr>
          <w:rFonts w:hint="eastAsia" w:ascii="宋体" w:hAnsi="宋体"/>
          <w:sz w:val="18"/>
          <w:szCs w:val="18"/>
          <w:u w:val="single"/>
        </w:rPr>
        <w:t>）产品资产规模过大，使产品管理人无法找到合适的投资品种，或其他可能对产品业绩产生负面影响，或发生其他损害存量产品份额持有人利益的情况；</w:t>
      </w:r>
    </w:p>
    <w:p>
      <w:pPr>
        <w:ind w:firstLine="4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6</w:t>
      </w:r>
      <w:r>
        <w:rPr>
          <w:rFonts w:hint="eastAsia" w:ascii="宋体" w:hAnsi="宋体"/>
          <w:sz w:val="18"/>
          <w:szCs w:val="18"/>
          <w:u w:val="single"/>
        </w:rPr>
        <w:t>）产品管理人接受申购申请有可能会导致在申购开放日内产品当日累计净申购申请份额（当日累计申购申请份额</w:t>
      </w:r>
      <w:r>
        <w:rPr>
          <w:rFonts w:ascii="宋体" w:hAnsi="宋体"/>
          <w:sz w:val="18"/>
          <w:szCs w:val="18"/>
          <w:u w:val="single"/>
        </w:rPr>
        <w:t>-当日累计赎回</w:t>
      </w:r>
      <w:r>
        <w:rPr>
          <w:rFonts w:hint="eastAsia" w:ascii="宋体" w:hAnsi="宋体"/>
          <w:sz w:val="18"/>
          <w:szCs w:val="18"/>
          <w:u w:val="single"/>
        </w:rPr>
        <w:t>申请</w:t>
      </w:r>
      <w:r>
        <w:rPr>
          <w:rFonts w:ascii="宋体" w:hAnsi="宋体"/>
          <w:sz w:val="18"/>
          <w:szCs w:val="18"/>
          <w:u w:val="single"/>
        </w:rPr>
        <w:t>份额）超过前一日终理财产品总份额的10%</w:t>
      </w:r>
      <w:r>
        <w:rPr>
          <w:rFonts w:hint="eastAsia" w:ascii="宋体" w:hAnsi="宋体"/>
          <w:sz w:val="18"/>
          <w:szCs w:val="18"/>
          <w:u w:val="single"/>
        </w:rPr>
        <w:t>；</w:t>
      </w:r>
    </w:p>
    <w:p>
      <w:pPr>
        <w:ind w:firstLine="402"/>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7</w:t>
      </w:r>
      <w:r>
        <w:rPr>
          <w:rFonts w:hint="eastAsia" w:ascii="宋体" w:hAnsi="宋体"/>
          <w:sz w:val="18"/>
          <w:szCs w:val="18"/>
          <w:u w:val="single"/>
        </w:rPr>
        <w:t>）产品管理人有合理理由认为将影响本产品运作的其他情形；</w:t>
      </w:r>
    </w:p>
    <w:p>
      <w:pPr>
        <w:ind w:firstLine="402"/>
        <w:rPr>
          <w:rFonts w:hint="eastAsia" w:ascii="宋体" w:hAnsi="宋体"/>
          <w:b/>
          <w:sz w:val="18"/>
          <w:szCs w:val="18"/>
        </w:rPr>
      </w:pPr>
      <w:r>
        <w:rPr>
          <w:rFonts w:hint="eastAsia" w:ascii="宋体" w:hAnsi="宋体"/>
          <w:sz w:val="18"/>
          <w:szCs w:val="18"/>
          <w:u w:val="single"/>
        </w:rPr>
        <w:t>（</w:t>
      </w:r>
      <w:r>
        <w:rPr>
          <w:rFonts w:ascii="宋体" w:hAnsi="宋体"/>
          <w:sz w:val="18"/>
          <w:szCs w:val="18"/>
          <w:u w:val="single"/>
        </w:rPr>
        <w:t>8</w:t>
      </w:r>
      <w:r>
        <w:rPr>
          <w:rFonts w:hint="eastAsia" w:ascii="宋体" w:hAnsi="宋体"/>
          <w:sz w:val="18"/>
          <w:szCs w:val="18"/>
          <w:u w:val="single"/>
        </w:rPr>
        <w:t>）法律、法规或相关监管机构认定的其他情形。</w:t>
      </w:r>
    </w:p>
    <w:p>
      <w:pPr>
        <w:spacing w:after="93" w:afterLines="30"/>
        <w:ind w:firstLine="400"/>
        <w:rPr>
          <w:rFonts w:hint="eastAsia" w:ascii="宋体" w:hAnsi="宋体"/>
          <w:b/>
          <w:bCs/>
          <w:sz w:val="18"/>
          <w:szCs w:val="18"/>
        </w:rPr>
      </w:pPr>
      <w:r>
        <w:rPr>
          <w:rFonts w:hint="eastAsia" w:ascii="宋体" w:hAnsi="宋体"/>
          <w:b/>
          <w:bCs/>
          <w:sz w:val="18"/>
          <w:szCs w:val="18"/>
        </w:rPr>
        <w:t>对于申购未被接受的部分，投资者可于下一个产品申购开放日的申购申请时间段提起申购申请。</w:t>
      </w:r>
    </w:p>
    <w:p>
      <w:pPr>
        <w:ind w:firstLine="361" w:firstLineChars="200"/>
        <w:outlineLvl w:val="1"/>
        <w:rPr>
          <w:rFonts w:hint="eastAsia" w:ascii="宋体" w:hAnsi="宋体"/>
          <w:b/>
          <w:sz w:val="18"/>
          <w:szCs w:val="18"/>
        </w:rPr>
      </w:pPr>
      <w:r>
        <w:rPr>
          <w:rFonts w:hint="eastAsia" w:ascii="宋体" w:hAnsi="宋体"/>
          <w:b/>
          <w:sz w:val="18"/>
          <w:szCs w:val="18"/>
        </w:rPr>
        <w:t>（五）产品赎回</w:t>
      </w:r>
    </w:p>
    <w:p>
      <w:pPr>
        <w:ind w:firstLine="357"/>
        <w:rPr>
          <w:rFonts w:hint="eastAsia" w:ascii="宋体" w:hAnsi="宋体"/>
          <w:color w:val="000000"/>
          <w:sz w:val="18"/>
          <w:szCs w:val="18"/>
        </w:rPr>
      </w:pPr>
      <w:r>
        <w:rPr>
          <w:rFonts w:hint="eastAsia" w:ascii="宋体" w:hAnsi="宋体"/>
          <w:color w:val="000000"/>
          <w:sz w:val="18"/>
          <w:szCs w:val="18"/>
        </w:rPr>
        <w:t>1.本产品以份额赎回。</w:t>
      </w:r>
    </w:p>
    <w:p>
      <w:pPr>
        <w:ind w:firstLine="360" w:firstLineChars="200"/>
        <w:rPr>
          <w:rFonts w:hint="eastAsia" w:ascii="宋体" w:hAnsi="宋体"/>
          <w:color w:val="000000"/>
          <w:sz w:val="18"/>
          <w:szCs w:val="18"/>
        </w:rPr>
      </w:pPr>
      <w:r>
        <w:rPr>
          <w:rFonts w:hint="eastAsia" w:ascii="宋体" w:hAnsi="宋体"/>
          <w:color w:val="000000"/>
          <w:sz w:val="18"/>
          <w:szCs w:val="18"/>
        </w:rPr>
        <w:t>2.本产品份额赎回遵循“先进先出”原则，即按照投资者认购、申购的先后次序进行赎回。</w:t>
      </w:r>
    </w:p>
    <w:p>
      <w:pPr>
        <w:ind w:firstLine="360" w:firstLineChars="200"/>
        <w:rPr>
          <w:rFonts w:hint="eastAsia" w:ascii="宋体" w:hAnsi="宋体"/>
          <w:b/>
          <w:color w:val="000000"/>
          <w:sz w:val="18"/>
          <w:szCs w:val="18"/>
        </w:rPr>
      </w:pPr>
      <w:r>
        <w:rPr>
          <w:rFonts w:ascii="宋体" w:hAnsi="宋体"/>
          <w:color w:val="000000"/>
          <w:sz w:val="18"/>
          <w:szCs w:val="18"/>
        </w:rPr>
        <w:t>3.</w:t>
      </w:r>
      <w:r>
        <w:rPr>
          <w:rFonts w:hint="eastAsia" w:ascii="宋体" w:hAnsi="宋体"/>
          <w:color w:val="000000"/>
          <w:sz w:val="18"/>
          <w:szCs w:val="18"/>
        </w:rPr>
        <w:t>产品存续期内，投资者可在产品工作日的赎回时间段内申请赎回，并撤销当日的赎回申请。产品管理人于赎回开放日后第一个工作日（T+1日）对赎回的有效性进行确认，并完成赎回资金到账。</w:t>
      </w:r>
      <w:r>
        <w:rPr>
          <w:rFonts w:hint="eastAsia" w:ascii="宋体" w:hAnsi="宋体"/>
          <w:b/>
          <w:color w:val="000000"/>
          <w:sz w:val="18"/>
          <w:szCs w:val="18"/>
        </w:rPr>
        <w:t>投资者未赎回的份额将继续参与本产品运作。</w:t>
      </w:r>
    </w:p>
    <w:p>
      <w:pPr>
        <w:ind w:firstLine="403"/>
        <w:rPr>
          <w:rFonts w:hint="eastAsia" w:ascii="宋体" w:hAnsi="宋体"/>
          <w:sz w:val="18"/>
          <w:szCs w:val="18"/>
        </w:rPr>
      </w:pPr>
      <w:r>
        <w:rPr>
          <w:rFonts w:hint="eastAsia" w:ascii="宋体" w:hAnsi="宋体"/>
          <w:sz w:val="18"/>
          <w:szCs w:val="18"/>
        </w:rPr>
        <w:t>4.赎回金额的计算：</w:t>
      </w:r>
    </w:p>
    <w:p>
      <w:pPr>
        <w:ind w:firstLine="360" w:firstLineChars="200"/>
        <w:rPr>
          <w:rFonts w:hint="eastAsia" w:ascii="宋体" w:hAnsi="宋体"/>
          <w:color w:val="000000"/>
          <w:sz w:val="18"/>
          <w:szCs w:val="18"/>
        </w:rPr>
      </w:pPr>
      <w:r>
        <w:rPr>
          <w:rFonts w:hint="eastAsia" w:ascii="宋体" w:hAnsi="宋体"/>
          <w:color w:val="000000"/>
          <w:sz w:val="18"/>
          <w:szCs w:val="18"/>
        </w:rPr>
        <w:t>（1）全额赎回</w:t>
      </w:r>
    </w:p>
    <w:p>
      <w:pPr>
        <w:ind w:firstLine="360" w:firstLineChars="200"/>
        <w:rPr>
          <w:rFonts w:hint="eastAsia" w:ascii="宋体" w:hAnsi="宋体"/>
          <w:color w:val="000000"/>
          <w:sz w:val="18"/>
          <w:szCs w:val="18"/>
        </w:rPr>
      </w:pPr>
      <w:r>
        <w:rPr>
          <w:rFonts w:hint="eastAsia" w:ascii="宋体" w:hAnsi="宋体"/>
          <w:color w:val="000000"/>
          <w:sz w:val="18"/>
          <w:szCs w:val="18"/>
        </w:rPr>
        <w:t>若投资者全额赎回份额，其未付收益将结清。</w:t>
      </w:r>
    </w:p>
    <w:p>
      <w:pPr>
        <w:ind w:firstLine="360" w:firstLineChars="200"/>
        <w:rPr>
          <w:rFonts w:hint="eastAsia" w:ascii="宋体" w:hAnsi="宋体"/>
          <w:color w:val="000000"/>
          <w:sz w:val="18"/>
          <w:szCs w:val="18"/>
        </w:rPr>
      </w:pPr>
      <w:r>
        <w:rPr>
          <w:rFonts w:hint="eastAsia" w:ascii="宋体" w:hAnsi="宋体"/>
          <w:color w:val="000000"/>
          <w:sz w:val="18"/>
          <w:szCs w:val="18"/>
        </w:rPr>
        <w:t>赎回金额＝赎回份额×1元/份+赎回份额对应的未付收益</w:t>
      </w:r>
    </w:p>
    <w:p>
      <w:pPr>
        <w:ind w:firstLine="360" w:firstLineChars="200"/>
        <w:rPr>
          <w:rFonts w:hint="eastAsia" w:ascii="宋体" w:hAnsi="宋体"/>
          <w:color w:val="000000"/>
          <w:sz w:val="18"/>
          <w:szCs w:val="18"/>
        </w:rPr>
      </w:pPr>
      <w:r>
        <w:rPr>
          <w:rFonts w:hint="eastAsia" w:ascii="宋体" w:hAnsi="宋体"/>
          <w:color w:val="000000"/>
          <w:sz w:val="18"/>
          <w:szCs w:val="18"/>
        </w:rPr>
        <w:t>未付收益为负值的，则从投资者赎回款中扣除。</w:t>
      </w:r>
    </w:p>
    <w:p>
      <w:pPr>
        <w:ind w:firstLine="360" w:firstLineChars="200"/>
        <w:rPr>
          <w:rFonts w:hint="eastAsia" w:ascii="宋体" w:hAnsi="宋体"/>
          <w:color w:val="000000"/>
          <w:sz w:val="18"/>
          <w:szCs w:val="18"/>
        </w:rPr>
      </w:pPr>
      <w:r>
        <w:rPr>
          <w:rFonts w:hint="eastAsia" w:ascii="宋体" w:hAnsi="宋体"/>
          <w:color w:val="000000"/>
          <w:sz w:val="18"/>
          <w:szCs w:val="18"/>
        </w:rPr>
        <w:t>（2）部分赎回</w:t>
      </w:r>
    </w:p>
    <w:p>
      <w:pPr>
        <w:ind w:firstLine="360" w:firstLineChars="200"/>
        <w:rPr>
          <w:rFonts w:hint="eastAsia" w:ascii="宋体" w:hAnsi="宋体"/>
          <w:color w:val="000000"/>
          <w:sz w:val="18"/>
          <w:szCs w:val="18"/>
        </w:rPr>
      </w:pPr>
      <w:r>
        <w:rPr>
          <w:rFonts w:hint="eastAsia" w:ascii="宋体" w:hAnsi="宋体"/>
          <w:color w:val="000000"/>
          <w:sz w:val="18"/>
          <w:szCs w:val="18"/>
        </w:rPr>
        <w:t>赎回金额＝赎回份额×1元/份</w:t>
      </w:r>
    </w:p>
    <w:p>
      <w:pPr>
        <w:ind w:firstLine="360" w:firstLineChars="200"/>
        <w:rPr>
          <w:rFonts w:hint="eastAsia" w:ascii="宋体" w:hAnsi="宋体"/>
          <w:color w:val="000000"/>
          <w:sz w:val="18"/>
          <w:szCs w:val="18"/>
        </w:rPr>
      </w:pPr>
      <w:r>
        <w:rPr>
          <w:rFonts w:hint="eastAsia" w:ascii="宋体" w:hAnsi="宋体"/>
          <w:color w:val="000000"/>
          <w:sz w:val="18"/>
          <w:szCs w:val="18"/>
        </w:rPr>
        <w:t>赎回份额对应的未付收益将于下一个工作日（T+1日）结转至投资者理财账户。</w:t>
      </w:r>
    </w:p>
    <w:p>
      <w:pPr>
        <w:ind w:firstLine="360" w:firstLineChars="200"/>
        <w:rPr>
          <w:rFonts w:hint="eastAsia" w:ascii="宋体" w:hAnsi="宋体"/>
          <w:color w:val="000000"/>
          <w:sz w:val="18"/>
          <w:szCs w:val="18"/>
        </w:rPr>
      </w:pPr>
      <w:r>
        <w:rPr>
          <w:rFonts w:hint="eastAsia" w:ascii="宋体" w:hAnsi="宋体"/>
          <w:color w:val="000000"/>
          <w:sz w:val="18"/>
          <w:szCs w:val="18"/>
        </w:rPr>
        <w:t>未付收益为负值的，则从投资者赎回款中扣除：</w:t>
      </w:r>
    </w:p>
    <w:p>
      <w:pPr>
        <w:ind w:firstLine="360" w:firstLineChars="200"/>
        <w:rPr>
          <w:rFonts w:hint="eastAsia" w:ascii="宋体" w:hAnsi="宋体"/>
          <w:color w:val="000000"/>
          <w:sz w:val="18"/>
          <w:szCs w:val="18"/>
        </w:rPr>
      </w:pPr>
      <w:r>
        <w:rPr>
          <w:rFonts w:hint="eastAsia" w:ascii="宋体" w:hAnsi="宋体"/>
          <w:color w:val="000000"/>
          <w:sz w:val="18"/>
          <w:szCs w:val="18"/>
        </w:rPr>
        <w:t>赎回金额＝赎回份额×1元/份+赎回份额对应的未付收益</w:t>
      </w:r>
    </w:p>
    <w:p>
      <w:pPr>
        <w:ind w:firstLine="360" w:firstLineChars="200"/>
        <w:rPr>
          <w:rFonts w:hint="eastAsia" w:ascii="宋体" w:hAnsi="宋体"/>
          <w:color w:val="000000"/>
          <w:sz w:val="18"/>
          <w:szCs w:val="18"/>
        </w:rPr>
      </w:pPr>
      <w:r>
        <w:rPr>
          <w:rFonts w:hint="eastAsia" w:ascii="宋体" w:hAnsi="宋体"/>
          <w:color w:val="000000"/>
          <w:sz w:val="18"/>
          <w:szCs w:val="18"/>
        </w:rPr>
        <w:t>赎回份额对应的未付收益=投资者申请赎回份额/投资者全部持仓份额*全部持仓份额的未付收益</w:t>
      </w:r>
    </w:p>
    <w:p>
      <w:pPr>
        <w:ind w:firstLine="360" w:firstLineChars="200"/>
        <w:rPr>
          <w:rFonts w:hint="eastAsia" w:ascii="宋体" w:hAnsi="宋体"/>
          <w:color w:val="000000"/>
          <w:sz w:val="18"/>
          <w:szCs w:val="18"/>
        </w:rPr>
      </w:pPr>
      <w:r>
        <w:rPr>
          <w:rFonts w:hint="eastAsia" w:ascii="宋体" w:hAnsi="宋体"/>
          <w:color w:val="000000"/>
          <w:sz w:val="18"/>
          <w:szCs w:val="18"/>
        </w:rPr>
        <w:t>投资者剩余持仓份额对应的未付收益=全部持仓份额的未付收益-赎回份额对应的未付收益</w:t>
      </w:r>
    </w:p>
    <w:p>
      <w:pPr>
        <w:autoSpaceDE w:val="0"/>
        <w:autoSpaceDN w:val="0"/>
        <w:adjustRightInd w:val="0"/>
        <w:ind w:firstLine="361" w:firstLineChars="200"/>
        <w:rPr>
          <w:rFonts w:hint="eastAsia" w:ascii="宋体" w:hAnsi="宋体" w:cs="宋体"/>
          <w:color w:val="000000"/>
          <w:kern w:val="0"/>
          <w:sz w:val="18"/>
          <w:szCs w:val="18"/>
        </w:rPr>
      </w:pPr>
      <w:r>
        <w:rPr>
          <w:rFonts w:hint="eastAsia" w:ascii="宋体" w:hAnsi="宋体"/>
          <w:b/>
          <w:sz w:val="18"/>
          <w:szCs w:val="18"/>
        </w:rPr>
        <w:t>5.巨额赎回：</w:t>
      </w:r>
      <w:r>
        <w:rPr>
          <w:rFonts w:hint="eastAsia" w:ascii="宋体" w:hAnsi="宋体"/>
          <w:sz w:val="18"/>
          <w:szCs w:val="18"/>
        </w:rPr>
        <w:t>在每个开放日内，产品当日净赎回申请份额（当日累计赎回申请份额-当日累计申购申请份额）超过前一日终理财产品总份额的10%时，本产品触发巨额赎回。</w:t>
      </w:r>
    </w:p>
    <w:p>
      <w:pPr>
        <w:ind w:firstLine="403"/>
        <w:rPr>
          <w:rFonts w:hint="eastAsia" w:ascii="宋体" w:hAnsi="宋体"/>
          <w:sz w:val="18"/>
          <w:szCs w:val="18"/>
        </w:rPr>
      </w:pPr>
      <w:r>
        <w:rPr>
          <w:rFonts w:hint="eastAsia" w:ascii="宋体" w:hAnsi="宋体"/>
          <w:sz w:val="18"/>
          <w:szCs w:val="18"/>
        </w:rPr>
        <w:t>对于每个开放日内触发巨额赎回的赎回申请，产品管理人有权根据产品运作情况选择以下任一处理方式：</w:t>
      </w:r>
    </w:p>
    <w:p>
      <w:pPr>
        <w:ind w:firstLine="403"/>
        <w:rPr>
          <w:rFonts w:hint="eastAsia" w:ascii="宋体" w:hAnsi="宋体"/>
          <w:sz w:val="18"/>
          <w:szCs w:val="18"/>
        </w:rPr>
      </w:pPr>
      <w:r>
        <w:rPr>
          <w:rFonts w:hint="eastAsia" w:ascii="宋体" w:hAnsi="宋体"/>
          <w:b/>
          <w:sz w:val="18"/>
          <w:szCs w:val="18"/>
        </w:rPr>
        <w:t>（1）接受全部赎回申赎：</w:t>
      </w:r>
      <w:r>
        <w:rPr>
          <w:rFonts w:hint="eastAsia" w:ascii="宋体" w:hAnsi="宋体"/>
          <w:sz w:val="18"/>
          <w:szCs w:val="18"/>
        </w:rPr>
        <w:t>产品管理人对于每个开放日内触发巨额赎回的赎回申请全部接受，并按正常赎回规则兑付至投资者约定交易账户。</w:t>
      </w:r>
    </w:p>
    <w:p>
      <w:pPr>
        <w:ind w:firstLine="403"/>
        <w:rPr>
          <w:rFonts w:hint="eastAsia" w:ascii="宋体" w:hAnsi="宋体"/>
          <w:sz w:val="18"/>
          <w:szCs w:val="18"/>
        </w:rPr>
      </w:pPr>
      <w:r>
        <w:rPr>
          <w:rFonts w:hint="eastAsia" w:ascii="宋体" w:hAnsi="宋体"/>
          <w:b/>
          <w:sz w:val="18"/>
          <w:szCs w:val="18"/>
        </w:rPr>
        <w:t>（2）拒绝或暂停部分赎回申请：</w:t>
      </w:r>
      <w:r>
        <w:rPr>
          <w:rFonts w:hint="eastAsia" w:ascii="宋体" w:hAnsi="宋体"/>
          <w:sz w:val="18"/>
          <w:szCs w:val="18"/>
        </w:rPr>
        <w:t>若产品管理人认为为兑付所有的赎回申请而进行的资产变现，可能造成所投资的资产价值发生较大波动或其他不利于产品运作的情况，则产品管理人有权依据投资者赎回申请提交的顺序，按时间优先（即先申请，先赎回，下同）的原则，拒绝或暂停较晚提交的赎回申请，但接受赎回的比例应使每个开放日内净赎回申请份额大于或等于前一日终理财产品总份额的1</w:t>
      </w:r>
      <w:r>
        <w:rPr>
          <w:rFonts w:ascii="宋体" w:hAnsi="宋体"/>
          <w:sz w:val="18"/>
          <w:szCs w:val="18"/>
        </w:rPr>
        <w:t>0</w:t>
      </w:r>
      <w:r>
        <w:rPr>
          <w:rFonts w:hint="eastAsia" w:ascii="宋体" w:hAnsi="宋体"/>
          <w:sz w:val="18"/>
          <w:szCs w:val="18"/>
        </w:rPr>
        <w:t>%。未能赎回的投资者可于下一个赎回开放日或之后的赎回开放日重新申请赎回。</w:t>
      </w:r>
    </w:p>
    <w:p>
      <w:pPr>
        <w:ind w:firstLine="402"/>
        <w:rPr>
          <w:rFonts w:hint="eastAsia" w:ascii="宋体" w:hAnsi="宋体" w:cs="宋体"/>
          <w:kern w:val="0"/>
          <w:sz w:val="18"/>
          <w:szCs w:val="18"/>
        </w:rPr>
      </w:pPr>
      <w:r>
        <w:rPr>
          <w:rFonts w:ascii="宋体" w:hAnsi="宋体"/>
          <w:b/>
          <w:sz w:val="18"/>
          <w:szCs w:val="18"/>
        </w:rPr>
        <w:t>（</w:t>
      </w:r>
      <w:r>
        <w:rPr>
          <w:rFonts w:hint="eastAsia" w:ascii="宋体" w:hAnsi="宋体"/>
          <w:b/>
          <w:sz w:val="18"/>
          <w:szCs w:val="18"/>
        </w:rPr>
        <w:t>3</w:t>
      </w:r>
      <w:r>
        <w:rPr>
          <w:rFonts w:ascii="宋体" w:hAnsi="宋体"/>
          <w:b/>
          <w:sz w:val="18"/>
          <w:szCs w:val="18"/>
        </w:rPr>
        <w:t>）延缓支付赎回款项：</w:t>
      </w:r>
      <w:r>
        <w:rPr>
          <w:rFonts w:ascii="宋体" w:hAnsi="宋体"/>
          <w:sz w:val="18"/>
          <w:szCs w:val="18"/>
        </w:rPr>
        <w:t>产品连续</w:t>
      </w:r>
      <w:r>
        <w:rPr>
          <w:rFonts w:hint="eastAsia" w:ascii="宋体" w:hAnsi="宋体"/>
          <w:sz w:val="18"/>
          <w:szCs w:val="18"/>
        </w:rPr>
        <w:t>2个以上开放日发生巨额赎回的，除采取以上措施外，对于已经接受的赎回申请，产品管理人有权延缓支付赎回</w:t>
      </w:r>
      <w:r>
        <w:rPr>
          <w:rFonts w:hint="eastAsia" w:ascii="宋体" w:hAnsi="宋体" w:cs="宋体"/>
          <w:kern w:val="0"/>
          <w:sz w:val="18"/>
          <w:szCs w:val="18"/>
        </w:rPr>
        <w:t>款项，但延缓期限不得超过20个工作日。</w:t>
      </w:r>
    </w:p>
    <w:p>
      <w:pPr>
        <w:ind w:firstLine="402"/>
        <w:rPr>
          <w:rFonts w:hint="eastAsia" w:ascii="宋体" w:hAnsi="宋体"/>
          <w:b/>
          <w:sz w:val="18"/>
          <w:szCs w:val="18"/>
        </w:rPr>
      </w:pPr>
      <w:r>
        <w:rPr>
          <w:rFonts w:hint="eastAsia" w:ascii="宋体" w:hAnsi="宋体"/>
          <w:b/>
          <w:sz w:val="18"/>
          <w:szCs w:val="18"/>
        </w:rPr>
        <w:t>6.若出现如下情况之一，产品管理人有权利但无义务拒绝或暂停接受投资者的全部或部分赎回申请，并可以根据实际情况向已接受赎回申请的投资者延迟兑付或分次兑付：</w:t>
      </w:r>
    </w:p>
    <w:p>
      <w:pPr>
        <w:ind w:firstLine="4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1</w:t>
      </w:r>
      <w:r>
        <w:rPr>
          <w:rFonts w:hint="eastAsia" w:ascii="宋体" w:hAnsi="宋体"/>
          <w:sz w:val="18"/>
          <w:szCs w:val="18"/>
          <w:u w:val="single"/>
        </w:rPr>
        <w:t>）因不可抗力导致产品管理人无法接受投资者赎回申请；</w:t>
      </w:r>
    </w:p>
    <w:p>
      <w:pPr>
        <w:ind w:firstLine="4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2</w:t>
      </w:r>
      <w:r>
        <w:rPr>
          <w:rFonts w:hint="eastAsia" w:ascii="宋体" w:hAnsi="宋体"/>
          <w:sz w:val="18"/>
          <w:szCs w:val="18"/>
          <w:u w:val="single"/>
        </w:rPr>
        <w:t>）发生本产品说明书约定的暂停产品资产估值的情况；</w:t>
      </w:r>
    </w:p>
    <w:p>
      <w:pPr>
        <w:ind w:firstLine="4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3</w:t>
      </w:r>
      <w:r>
        <w:rPr>
          <w:rFonts w:hint="eastAsia" w:ascii="宋体" w:hAnsi="宋体"/>
          <w:sz w:val="18"/>
          <w:szCs w:val="18"/>
          <w:u w:val="single"/>
        </w:rPr>
        <w:t>）基础资产无法及时、足额变现；</w:t>
      </w:r>
    </w:p>
    <w:p>
      <w:pPr>
        <w:ind w:firstLine="400"/>
        <w:rPr>
          <w:rFonts w:hint="eastAsia" w:ascii="宋体" w:hAnsi="宋体" w:cs="宋体"/>
          <w:kern w:val="0"/>
          <w:sz w:val="18"/>
          <w:szCs w:val="18"/>
          <w:u w:val="single"/>
        </w:rPr>
      </w:pPr>
      <w:r>
        <w:rPr>
          <w:rFonts w:hint="eastAsia" w:ascii="宋体" w:hAnsi="宋体"/>
          <w:color w:val="000000"/>
          <w:kern w:val="0"/>
          <w:sz w:val="18"/>
          <w:szCs w:val="18"/>
          <w:u w:val="single"/>
        </w:rPr>
        <w:t>（</w:t>
      </w:r>
      <w:r>
        <w:rPr>
          <w:rFonts w:ascii="宋体" w:hAnsi="宋体"/>
          <w:color w:val="000000"/>
          <w:kern w:val="0"/>
          <w:sz w:val="18"/>
          <w:szCs w:val="18"/>
          <w:u w:val="single"/>
        </w:rPr>
        <w:t>4</w:t>
      </w:r>
      <w:r>
        <w:rPr>
          <w:rFonts w:hint="eastAsia" w:ascii="宋体" w:hAnsi="宋体"/>
          <w:color w:val="000000"/>
          <w:kern w:val="0"/>
          <w:sz w:val="18"/>
          <w:szCs w:val="18"/>
          <w:u w:val="single"/>
        </w:rPr>
        <w:t>）</w:t>
      </w:r>
      <w:r>
        <w:rPr>
          <w:rFonts w:hint="eastAsia" w:ascii="宋体" w:hAnsi="宋体" w:cs="宋体"/>
          <w:kern w:val="0"/>
          <w:sz w:val="18"/>
          <w:szCs w:val="18"/>
          <w:u w:val="single"/>
        </w:rPr>
        <w:t>产品连续</w:t>
      </w:r>
      <w:r>
        <w:rPr>
          <w:rFonts w:ascii="宋体" w:hAnsi="宋体" w:cs="宋体"/>
          <w:kern w:val="0"/>
          <w:sz w:val="18"/>
          <w:szCs w:val="18"/>
          <w:u w:val="single"/>
        </w:rPr>
        <w:t>2个以上开放日发生巨额赎回，产品管理人可拒绝或暂停接受投资者的赎回申请，对于已经接受的赎回申请，</w:t>
      </w:r>
      <w:r>
        <w:rPr>
          <w:rFonts w:hint="eastAsia" w:ascii="宋体" w:hAnsi="宋体"/>
          <w:sz w:val="18"/>
          <w:szCs w:val="18"/>
          <w:u w:val="single"/>
        </w:rPr>
        <w:t>产品管理人可</w:t>
      </w:r>
      <w:r>
        <w:rPr>
          <w:rFonts w:hint="eastAsia" w:ascii="宋体" w:hAnsi="宋体" w:cs="宋体"/>
          <w:kern w:val="0"/>
          <w:sz w:val="18"/>
          <w:szCs w:val="18"/>
          <w:u w:val="single"/>
        </w:rPr>
        <w:t>延缓支付赎回款项，但延缓期限不得超过</w:t>
      </w:r>
      <w:r>
        <w:rPr>
          <w:rFonts w:ascii="宋体" w:hAnsi="宋体" w:cs="宋体"/>
          <w:kern w:val="0"/>
          <w:sz w:val="18"/>
          <w:szCs w:val="18"/>
          <w:u w:val="single"/>
        </w:rPr>
        <w:t>20个工作日；</w:t>
      </w:r>
    </w:p>
    <w:p>
      <w:pPr>
        <w:ind w:firstLine="400"/>
        <w:rPr>
          <w:rFonts w:hint="eastAsia" w:ascii="宋体" w:hAnsi="宋体" w:cs="宋体"/>
          <w:kern w:val="0"/>
          <w:sz w:val="18"/>
          <w:szCs w:val="18"/>
          <w:u w:val="single"/>
        </w:rPr>
      </w:pPr>
      <w:r>
        <w:rPr>
          <w:rFonts w:hint="eastAsia" w:ascii="宋体" w:hAnsi="宋体" w:cs="宋体"/>
          <w:kern w:val="0"/>
          <w:sz w:val="18"/>
          <w:szCs w:val="18"/>
          <w:u w:val="single"/>
        </w:rPr>
        <w:t>（</w:t>
      </w:r>
      <w:r>
        <w:rPr>
          <w:rFonts w:ascii="宋体" w:hAnsi="宋体" w:cs="宋体"/>
          <w:kern w:val="0"/>
          <w:sz w:val="18"/>
          <w:szCs w:val="18"/>
          <w:u w:val="single"/>
        </w:rPr>
        <w:t>5）</w:t>
      </w:r>
      <w:r>
        <w:rPr>
          <w:rFonts w:hint="eastAsia" w:ascii="宋体" w:hAnsi="宋体"/>
          <w:sz w:val="18"/>
          <w:szCs w:val="18"/>
          <w:u w:val="single"/>
        </w:rPr>
        <w:t>单个份额持有人在单个开放日申请赎回理财产品份额超过本理财产品总份额合同约定比例的（如有），产品管理人可以暂停接受其赎回申请；已经接受的赎回申请可以延缓支付赎回款项，但延缓期限不得超过</w:t>
      </w:r>
      <w:r>
        <w:rPr>
          <w:rFonts w:ascii="宋体" w:hAnsi="宋体"/>
          <w:sz w:val="18"/>
          <w:szCs w:val="18"/>
          <w:u w:val="single"/>
        </w:rPr>
        <w:t>20个工作日</w:t>
      </w:r>
      <w:r>
        <w:rPr>
          <w:rFonts w:hint="eastAsia" w:ascii="宋体" w:hAnsi="宋体"/>
          <w:sz w:val="18"/>
          <w:szCs w:val="18"/>
          <w:u w:val="single"/>
        </w:rPr>
        <w:t>；</w:t>
      </w:r>
    </w:p>
    <w:p>
      <w:pPr>
        <w:ind w:firstLine="400"/>
        <w:rPr>
          <w:rFonts w:hint="eastAsia" w:ascii="宋体" w:hAnsi="宋体" w:cs="宋体"/>
          <w:kern w:val="0"/>
          <w:sz w:val="18"/>
          <w:szCs w:val="18"/>
          <w:u w:val="single"/>
        </w:rPr>
      </w:pPr>
      <w:r>
        <w:rPr>
          <w:rFonts w:hint="eastAsia" w:ascii="宋体" w:hAnsi="宋体" w:cs="宋体"/>
          <w:kern w:val="0"/>
          <w:sz w:val="18"/>
          <w:szCs w:val="18"/>
          <w:u w:val="single"/>
        </w:rPr>
        <w:t>（</w:t>
      </w:r>
      <w:r>
        <w:rPr>
          <w:rFonts w:ascii="宋体" w:hAnsi="宋体" w:cs="宋体"/>
          <w:kern w:val="0"/>
          <w:sz w:val="18"/>
          <w:szCs w:val="18"/>
          <w:u w:val="single"/>
        </w:rPr>
        <w:t>6</w:t>
      </w:r>
      <w:r>
        <w:rPr>
          <w:rFonts w:hint="eastAsia" w:ascii="宋体" w:hAnsi="宋体" w:cs="宋体"/>
          <w:kern w:val="0"/>
          <w:sz w:val="18"/>
          <w:szCs w:val="18"/>
          <w:u w:val="single"/>
        </w:rPr>
        <w:t>）发生继续接受赎回申请将损害存量产品份额持有人利益的情形；</w:t>
      </w:r>
    </w:p>
    <w:p>
      <w:pPr>
        <w:ind w:firstLine="400"/>
        <w:rPr>
          <w:rFonts w:hint="eastAsia" w:ascii="宋体" w:hAnsi="宋体"/>
          <w:sz w:val="18"/>
          <w:szCs w:val="18"/>
          <w:u w:val="single"/>
        </w:rPr>
      </w:pPr>
      <w:r>
        <w:rPr>
          <w:rFonts w:hint="eastAsia" w:ascii="宋体" w:hAnsi="宋体" w:cs="宋体"/>
          <w:kern w:val="0"/>
          <w:sz w:val="18"/>
          <w:szCs w:val="18"/>
          <w:u w:val="single"/>
        </w:rPr>
        <w:t>（</w:t>
      </w:r>
      <w:r>
        <w:rPr>
          <w:rFonts w:ascii="宋体" w:hAnsi="宋体" w:cs="宋体"/>
          <w:kern w:val="0"/>
          <w:sz w:val="18"/>
          <w:szCs w:val="18"/>
          <w:u w:val="single"/>
        </w:rPr>
        <w:t>7</w:t>
      </w:r>
      <w:r>
        <w:rPr>
          <w:rFonts w:hint="eastAsia" w:ascii="宋体" w:hAnsi="宋体" w:cs="宋体"/>
          <w:kern w:val="0"/>
          <w:sz w:val="18"/>
          <w:szCs w:val="18"/>
          <w:u w:val="single"/>
        </w:rPr>
        <w:t>）发生产品负偏离度绝对值连续两个交易日超过</w:t>
      </w:r>
      <w:r>
        <w:rPr>
          <w:rFonts w:ascii="宋体" w:hAnsi="宋体" w:cs="宋体"/>
          <w:kern w:val="0"/>
          <w:sz w:val="18"/>
          <w:szCs w:val="18"/>
          <w:u w:val="single"/>
        </w:rPr>
        <w:t>0.5%时，产品管理人可采取暂停接受所有赎回申请并终止产品合同进行财产清算等措施</w:t>
      </w:r>
      <w:r>
        <w:rPr>
          <w:rFonts w:hint="eastAsia" w:ascii="宋体" w:hAnsi="宋体" w:cs="宋体"/>
          <w:kern w:val="0"/>
          <w:sz w:val="18"/>
          <w:szCs w:val="18"/>
          <w:u w:val="single"/>
        </w:rPr>
        <w:t>的情形；</w:t>
      </w:r>
    </w:p>
    <w:p>
      <w:pPr>
        <w:ind w:firstLine="4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8</w:t>
      </w:r>
      <w:r>
        <w:rPr>
          <w:rFonts w:hint="eastAsia" w:ascii="宋体" w:hAnsi="宋体"/>
          <w:sz w:val="18"/>
          <w:szCs w:val="18"/>
          <w:u w:val="single"/>
        </w:rPr>
        <w:t>）产品管理人有合理理由认为将影响本产品运作的其他情形；</w:t>
      </w:r>
    </w:p>
    <w:p>
      <w:pPr>
        <w:ind w:firstLine="400"/>
        <w:rPr>
          <w:rFonts w:hint="eastAsia" w:ascii="宋体" w:hAnsi="宋体"/>
          <w:sz w:val="18"/>
          <w:szCs w:val="18"/>
        </w:rPr>
      </w:pPr>
      <w:r>
        <w:rPr>
          <w:rFonts w:hint="eastAsia" w:ascii="宋体" w:hAnsi="宋体"/>
          <w:sz w:val="18"/>
          <w:szCs w:val="18"/>
          <w:u w:val="single"/>
        </w:rPr>
        <w:t>（</w:t>
      </w:r>
      <w:r>
        <w:rPr>
          <w:rFonts w:ascii="宋体" w:hAnsi="宋体"/>
          <w:sz w:val="18"/>
          <w:szCs w:val="18"/>
          <w:u w:val="single"/>
        </w:rPr>
        <w:t>9</w:t>
      </w:r>
      <w:r>
        <w:rPr>
          <w:rFonts w:hint="eastAsia" w:ascii="宋体" w:hAnsi="宋体"/>
          <w:sz w:val="18"/>
          <w:szCs w:val="18"/>
          <w:u w:val="single"/>
        </w:rPr>
        <w:t>）法律、法规或相关监管机构认定的其他情形。</w:t>
      </w:r>
    </w:p>
    <w:p>
      <w:pPr>
        <w:ind w:firstLine="403"/>
        <w:rPr>
          <w:rFonts w:hint="eastAsia" w:ascii="宋体" w:hAnsi="宋体"/>
          <w:sz w:val="18"/>
          <w:szCs w:val="18"/>
        </w:rPr>
      </w:pPr>
      <w:r>
        <w:rPr>
          <w:rFonts w:hint="eastAsia" w:ascii="宋体" w:hAnsi="宋体"/>
          <w:sz w:val="18"/>
          <w:szCs w:val="18"/>
        </w:rPr>
        <w:t>对于赎回未被接受的部分，投资者可于下一个产品赎回开放日的赎回申请时间段提起赎回申请。</w:t>
      </w:r>
    </w:p>
    <w:p>
      <w:pPr>
        <w:ind w:firstLine="400"/>
        <w:rPr>
          <w:rFonts w:hint="eastAsia" w:ascii="宋体" w:hAnsi="宋体"/>
          <w:b/>
          <w:color w:val="000000"/>
          <w:sz w:val="18"/>
          <w:szCs w:val="18"/>
        </w:rPr>
      </w:pPr>
      <w:r>
        <w:rPr>
          <w:rFonts w:hint="eastAsia" w:ascii="宋体" w:hAnsi="宋体"/>
          <w:sz w:val="18"/>
          <w:szCs w:val="18"/>
        </w:rPr>
        <w:t>投资者在触发上述情形之前已提交的赎回申请，按照时间优先的原则进行处理，</w:t>
      </w:r>
      <w:r>
        <w:rPr>
          <w:rFonts w:hint="eastAsia" w:ascii="宋体" w:hAnsi="宋体"/>
          <w:b/>
          <w:sz w:val="18"/>
          <w:szCs w:val="18"/>
        </w:rPr>
        <w:t>产品管理人有权利但无义务拒绝或暂停接受投资者的全部或部分赎回申请。</w:t>
      </w:r>
    </w:p>
    <w:p>
      <w:pPr>
        <w:ind w:firstLine="360"/>
        <w:rPr>
          <w:rFonts w:hint="eastAsia" w:ascii="宋体" w:hAnsi="宋体"/>
          <w:sz w:val="18"/>
          <w:szCs w:val="18"/>
        </w:rPr>
      </w:pPr>
    </w:p>
    <w:p>
      <w:pPr>
        <w:ind w:firstLine="482" w:firstLineChars="200"/>
        <w:outlineLvl w:val="0"/>
        <w:rPr>
          <w:rFonts w:hint="eastAsia" w:ascii="宋体" w:hAnsi="宋体"/>
          <w:b/>
          <w:bCs/>
          <w:color w:val="000000"/>
          <w:sz w:val="24"/>
        </w:rPr>
      </w:pPr>
      <w:r>
        <w:rPr>
          <w:rFonts w:hint="eastAsia" w:ascii="宋体" w:hAnsi="宋体"/>
          <w:b/>
          <w:bCs/>
          <w:color w:val="000000"/>
          <w:sz w:val="24"/>
        </w:rPr>
        <w:t>四、产品资产估值</w:t>
      </w:r>
    </w:p>
    <w:p>
      <w:pPr>
        <w:ind w:firstLine="361" w:firstLineChars="200"/>
        <w:outlineLvl w:val="1"/>
        <w:rPr>
          <w:rFonts w:hint="eastAsia" w:ascii="宋体" w:hAnsi="宋体"/>
          <w:b/>
          <w:color w:val="000000"/>
          <w:sz w:val="18"/>
          <w:szCs w:val="18"/>
        </w:rPr>
      </w:pPr>
      <w:r>
        <w:rPr>
          <w:rFonts w:hint="eastAsia" w:ascii="宋体" w:hAnsi="宋体"/>
          <w:b/>
          <w:color w:val="000000"/>
          <w:sz w:val="18"/>
          <w:szCs w:val="18"/>
        </w:rPr>
        <w:t>（一）资产估值要求</w:t>
      </w:r>
    </w:p>
    <w:p>
      <w:pPr>
        <w:ind w:firstLine="403"/>
        <w:rPr>
          <w:rFonts w:hint="eastAsia" w:ascii="宋体" w:hAnsi="宋体"/>
          <w:sz w:val="18"/>
          <w:szCs w:val="18"/>
        </w:rPr>
      </w:pPr>
      <w:r>
        <w:rPr>
          <w:rFonts w:hint="eastAsia" w:ascii="宋体" w:hAnsi="宋体"/>
          <w:sz w:val="18"/>
          <w:szCs w:val="18"/>
        </w:rPr>
        <w:t>1.本产品资产总值包括产品项下固定收益类资产及其他符合监管要求的资产价值总和。</w:t>
      </w:r>
    </w:p>
    <w:p>
      <w:pPr>
        <w:ind w:firstLine="403"/>
        <w:rPr>
          <w:rFonts w:hint="eastAsia" w:ascii="宋体" w:hAnsi="宋体"/>
          <w:b/>
          <w:bCs/>
          <w:sz w:val="18"/>
          <w:szCs w:val="18"/>
        </w:rPr>
      </w:pPr>
      <w:r>
        <w:rPr>
          <w:rFonts w:hint="eastAsia" w:ascii="宋体" w:hAnsi="宋体"/>
          <w:sz w:val="18"/>
          <w:szCs w:val="18"/>
        </w:rPr>
        <w:t>2.本产品份额净值=本产品资产净值/本产品份额总数=1元/份 。本产品份额净值是计提相关费用后的份额净值，本产品费用计提详见本产品说明书第五章“产品收益与费用、税收说明”。本产品资产净值是指本产品资产总额减去负债总额后的价值，已计提的费用将计入产品负债，</w:t>
      </w:r>
      <w:r>
        <w:rPr>
          <w:rFonts w:hint="eastAsia" w:ascii="宋体" w:hAnsi="宋体"/>
          <w:b/>
          <w:bCs/>
          <w:sz w:val="18"/>
          <w:szCs w:val="18"/>
        </w:rPr>
        <w:t>未计提的费用不计入产品负债。</w:t>
      </w:r>
    </w:p>
    <w:p>
      <w:pPr>
        <w:ind w:firstLine="403"/>
        <w:rPr>
          <w:rFonts w:hint="eastAsia" w:ascii="宋体" w:hAnsi="宋体"/>
          <w:sz w:val="18"/>
          <w:szCs w:val="18"/>
        </w:rPr>
      </w:pPr>
      <w:r>
        <w:rPr>
          <w:rFonts w:hint="eastAsia" w:ascii="宋体" w:hAnsi="宋体"/>
          <w:sz w:val="18"/>
          <w:szCs w:val="18"/>
        </w:rPr>
        <w:t>3.本产品资产估值的目的是客观、准确地反映资产价值，确定理财产品资产净值，并为理财产品份额的兑付提供计价依据。</w:t>
      </w:r>
    </w:p>
    <w:p>
      <w:pPr>
        <w:adjustRightInd w:val="0"/>
        <w:snapToGrid w:val="0"/>
        <w:ind w:firstLine="361" w:firstLineChars="200"/>
        <w:outlineLvl w:val="1"/>
        <w:rPr>
          <w:rFonts w:hint="eastAsia" w:ascii="宋体" w:hAnsi="宋体"/>
          <w:b/>
          <w:color w:val="000000"/>
          <w:sz w:val="18"/>
          <w:szCs w:val="18"/>
        </w:rPr>
      </w:pPr>
      <w:r>
        <w:rPr>
          <w:rFonts w:hint="eastAsia" w:ascii="宋体" w:hAnsi="宋体"/>
          <w:b/>
          <w:color w:val="000000"/>
          <w:sz w:val="18"/>
          <w:szCs w:val="18"/>
        </w:rPr>
        <w:t>（二）资产估值原则</w:t>
      </w:r>
    </w:p>
    <w:p>
      <w:pPr>
        <w:ind w:firstLine="403"/>
        <w:rPr>
          <w:rFonts w:hint="eastAsia" w:ascii="宋体" w:hAnsi="宋体"/>
          <w:sz w:val="18"/>
          <w:szCs w:val="18"/>
        </w:rPr>
      </w:pPr>
      <w:r>
        <w:rPr>
          <w:rFonts w:hint="eastAsia" w:ascii="宋体" w:hAnsi="宋体"/>
          <w:sz w:val="18"/>
          <w:szCs w:val="18"/>
        </w:rPr>
        <w:t>1.适配性原则。金融资产的公允价值确定方法应与理财产品的类型相匹配。</w:t>
      </w:r>
    </w:p>
    <w:p>
      <w:pPr>
        <w:ind w:firstLine="403"/>
        <w:rPr>
          <w:rFonts w:hint="eastAsia" w:ascii="宋体" w:hAnsi="宋体"/>
          <w:sz w:val="18"/>
          <w:szCs w:val="18"/>
        </w:rPr>
      </w:pPr>
      <w:r>
        <w:rPr>
          <w:rFonts w:hint="eastAsia" w:ascii="宋体" w:hAnsi="宋体"/>
          <w:sz w:val="18"/>
          <w:szCs w:val="18"/>
        </w:rPr>
        <w:t>2.审慎性原则。审慎确认和计量金融资产的公允价值时，不高估公允价值收益，不低估公允价值损失。</w:t>
      </w:r>
    </w:p>
    <w:p>
      <w:pPr>
        <w:ind w:firstLine="403"/>
        <w:rPr>
          <w:rFonts w:hint="eastAsia" w:ascii="宋体" w:hAnsi="宋体"/>
          <w:sz w:val="18"/>
          <w:szCs w:val="18"/>
        </w:rPr>
      </w:pPr>
      <w:r>
        <w:rPr>
          <w:rFonts w:hint="eastAsia" w:ascii="宋体" w:hAnsi="宋体"/>
          <w:sz w:val="18"/>
          <w:szCs w:val="18"/>
        </w:rPr>
        <w:t>3.充分性原则。估值过程中充分考虑金融资产的性质、重要性及复杂程度等因素。</w:t>
      </w:r>
    </w:p>
    <w:p>
      <w:pPr>
        <w:ind w:firstLine="403"/>
        <w:rPr>
          <w:rFonts w:hint="eastAsia" w:ascii="宋体" w:hAnsi="宋体"/>
          <w:sz w:val="18"/>
          <w:szCs w:val="18"/>
        </w:rPr>
      </w:pPr>
      <w:r>
        <w:rPr>
          <w:rFonts w:hint="eastAsia" w:ascii="宋体" w:hAnsi="宋体"/>
          <w:sz w:val="18"/>
          <w:szCs w:val="18"/>
        </w:rPr>
        <w:t>4.清晰性原则。估值方法应清晰明了，便于理解和应用，能清晰反应金融资产的性质。</w:t>
      </w:r>
    </w:p>
    <w:p>
      <w:pPr>
        <w:adjustRightInd w:val="0"/>
        <w:snapToGrid w:val="0"/>
        <w:ind w:firstLine="361" w:firstLineChars="200"/>
        <w:outlineLvl w:val="1"/>
        <w:rPr>
          <w:rFonts w:hint="eastAsia" w:ascii="宋体" w:hAnsi="宋体"/>
          <w:b/>
          <w:color w:val="000000"/>
          <w:sz w:val="18"/>
          <w:szCs w:val="18"/>
        </w:rPr>
      </w:pPr>
      <w:r>
        <w:rPr>
          <w:rFonts w:hint="eastAsia" w:ascii="宋体" w:hAnsi="宋体"/>
          <w:b/>
          <w:color w:val="000000"/>
          <w:sz w:val="18"/>
          <w:szCs w:val="18"/>
        </w:rPr>
        <w:t>（三）资产估值方法</w:t>
      </w:r>
    </w:p>
    <w:p>
      <w:pPr>
        <w:adjustRightInd w:val="0"/>
        <w:snapToGrid w:val="0"/>
        <w:ind w:firstLine="361" w:firstLineChars="200"/>
        <w:rPr>
          <w:rFonts w:hint="eastAsia" w:ascii="宋体" w:hAnsi="宋体"/>
          <w:b/>
          <w:color w:val="000000"/>
          <w:sz w:val="18"/>
          <w:szCs w:val="18"/>
        </w:rPr>
      </w:pPr>
      <w:r>
        <w:rPr>
          <w:rFonts w:ascii="宋体" w:hAnsi="宋体"/>
          <w:b/>
          <w:color w:val="000000"/>
          <w:sz w:val="18"/>
          <w:szCs w:val="18"/>
        </w:rPr>
        <w:t>本</w:t>
      </w:r>
      <w:r>
        <w:rPr>
          <w:rFonts w:hint="eastAsia" w:ascii="宋体" w:hAnsi="宋体"/>
          <w:b/>
          <w:color w:val="000000"/>
          <w:sz w:val="18"/>
          <w:szCs w:val="18"/>
        </w:rPr>
        <w:t>产品</w:t>
      </w:r>
      <w:r>
        <w:rPr>
          <w:rFonts w:ascii="宋体" w:hAnsi="宋体"/>
          <w:b/>
          <w:color w:val="000000"/>
          <w:sz w:val="18"/>
          <w:szCs w:val="18"/>
        </w:rPr>
        <w:t>估值采用“摊余成本法”，即计价对象以买入成本列示，按照票面利率或协议</w:t>
      </w:r>
      <w:r>
        <w:rPr>
          <w:rFonts w:hint="eastAsia" w:ascii="宋体" w:hAnsi="宋体"/>
          <w:b/>
          <w:color w:val="000000"/>
          <w:sz w:val="18"/>
          <w:szCs w:val="18"/>
        </w:rPr>
        <w:t>利率并考虑其买入时的溢价与折价，在剩余存续期内按照实际利率法摊销，每日计提损益。</w:t>
      </w:r>
    </w:p>
    <w:p>
      <w:pPr>
        <w:ind w:firstLine="403"/>
        <w:rPr>
          <w:rFonts w:hint="eastAsia" w:ascii="宋体" w:hAnsi="宋体"/>
          <w:sz w:val="18"/>
          <w:szCs w:val="18"/>
        </w:rPr>
      </w:pPr>
      <w:r>
        <w:rPr>
          <w:rFonts w:hint="eastAsia" w:ascii="宋体" w:hAnsi="宋体"/>
          <w:sz w:val="18"/>
          <w:szCs w:val="18"/>
        </w:rPr>
        <w:t xml:space="preserve">1. 现金、银行存款 </w:t>
      </w:r>
    </w:p>
    <w:p>
      <w:pPr>
        <w:ind w:firstLine="403"/>
        <w:rPr>
          <w:rFonts w:hint="eastAsia" w:ascii="宋体" w:hAnsi="宋体"/>
          <w:sz w:val="18"/>
          <w:szCs w:val="18"/>
        </w:rPr>
      </w:pPr>
      <w:r>
        <w:rPr>
          <w:rFonts w:hint="eastAsia" w:ascii="宋体" w:hAnsi="宋体"/>
          <w:sz w:val="18"/>
          <w:szCs w:val="18"/>
        </w:rPr>
        <w:t xml:space="preserve">以本金列示，逐日计提银行存款利息，按约定利率确认存款利息收入。 </w:t>
      </w:r>
    </w:p>
    <w:p>
      <w:pPr>
        <w:ind w:firstLine="403"/>
        <w:rPr>
          <w:rFonts w:hint="eastAsia" w:ascii="宋体" w:hAnsi="宋体"/>
          <w:sz w:val="18"/>
          <w:szCs w:val="18"/>
        </w:rPr>
      </w:pPr>
      <w:r>
        <w:rPr>
          <w:rFonts w:hint="eastAsia" w:ascii="宋体" w:hAnsi="宋体"/>
          <w:sz w:val="18"/>
          <w:szCs w:val="18"/>
        </w:rPr>
        <w:t>2. 货币市场基金</w:t>
      </w:r>
    </w:p>
    <w:p>
      <w:pPr>
        <w:ind w:firstLine="403"/>
        <w:rPr>
          <w:rFonts w:hint="eastAsia" w:ascii="宋体" w:hAnsi="宋体"/>
          <w:sz w:val="18"/>
          <w:szCs w:val="18"/>
        </w:rPr>
      </w:pPr>
      <w:r>
        <w:rPr>
          <w:rFonts w:hint="eastAsia" w:ascii="宋体" w:hAnsi="宋体"/>
          <w:sz w:val="18"/>
          <w:szCs w:val="18"/>
        </w:rPr>
        <w:t>按基金管理公司公布的估值日前一交易日的每万份收益计提红利。持有的基金处于封闭期的,按照最新公布的份额净值估值。</w:t>
      </w:r>
    </w:p>
    <w:p>
      <w:pPr>
        <w:ind w:firstLine="403"/>
        <w:rPr>
          <w:rFonts w:hint="eastAsia" w:ascii="宋体" w:hAnsi="宋体"/>
          <w:sz w:val="18"/>
          <w:szCs w:val="18"/>
        </w:rPr>
      </w:pPr>
      <w:r>
        <w:rPr>
          <w:rFonts w:hint="eastAsia" w:ascii="宋体" w:hAnsi="宋体"/>
          <w:sz w:val="18"/>
          <w:szCs w:val="18"/>
        </w:rPr>
        <w:t>银行间市场和证券交易所流通的债券等标准化固定收益类资产</w:t>
      </w:r>
    </w:p>
    <w:p>
      <w:pPr>
        <w:ind w:firstLine="403"/>
        <w:rPr>
          <w:rFonts w:hint="eastAsia" w:ascii="宋体" w:hAnsi="宋体"/>
          <w:sz w:val="18"/>
          <w:szCs w:val="18"/>
        </w:rPr>
      </w:pPr>
      <w:r>
        <w:rPr>
          <w:rFonts w:hint="eastAsia" w:ascii="宋体" w:hAnsi="宋体"/>
          <w:sz w:val="18"/>
          <w:szCs w:val="18"/>
        </w:rPr>
        <w:t>采用“摊余成本法”估值。</w:t>
      </w:r>
    </w:p>
    <w:p>
      <w:pPr>
        <w:ind w:firstLine="403"/>
        <w:rPr>
          <w:rFonts w:hint="eastAsia" w:ascii="宋体" w:hAnsi="宋体"/>
          <w:sz w:val="18"/>
          <w:szCs w:val="18"/>
        </w:rPr>
      </w:pPr>
      <w:r>
        <w:rPr>
          <w:rFonts w:hint="eastAsia" w:ascii="宋体" w:hAnsi="宋体"/>
          <w:sz w:val="18"/>
          <w:szCs w:val="18"/>
        </w:rPr>
        <w:t>4.其它符合监管要求的资产，以产品管理人和托管人共同认可的满足法律法规以及监管部门最新规定的方法估值。</w:t>
      </w:r>
    </w:p>
    <w:p>
      <w:pPr>
        <w:ind w:firstLine="403"/>
        <w:rPr>
          <w:rFonts w:hint="eastAsia" w:ascii="宋体" w:hAnsi="宋体"/>
          <w:sz w:val="18"/>
          <w:szCs w:val="18"/>
        </w:rPr>
      </w:pPr>
      <w:r>
        <w:rPr>
          <w:rFonts w:hint="eastAsia" w:ascii="宋体" w:hAnsi="宋体"/>
          <w:sz w:val="18"/>
          <w:szCs w:val="18"/>
        </w:rPr>
        <w:t>由于按摊余成本法估值可能会出现被估值对象的市价和成本价偏离，为消除或减少因价格偏离导致产品持有人权益的稀释或其他不公平的结果，在实际操作中，产品管理人与产品托管人需对产品资产净值按市价法定期进行重新评估，即进行“影子定价”。</w:t>
      </w:r>
    </w:p>
    <w:p>
      <w:pPr>
        <w:ind w:firstLine="403"/>
        <w:rPr>
          <w:rFonts w:hint="eastAsia" w:ascii="宋体" w:hAnsi="宋体"/>
          <w:sz w:val="18"/>
          <w:szCs w:val="18"/>
        </w:rPr>
      </w:pPr>
      <w:r>
        <w:rPr>
          <w:rFonts w:hint="eastAsia" w:ascii="宋体" w:hAnsi="宋体"/>
          <w:sz w:val="18"/>
          <w:szCs w:val="18"/>
        </w:rPr>
        <w:t>当影子定价确定的产品资产净值与摊余成本法计算的资产净值正偏离度绝对值达到0.5%时，产品管理人应当暂停接受认购并在5个交易日内将正偏离度绝对值调整到0.5%以内。当负偏离度绝对值达到0.25%时，产品管理人应当在5个交易日内将负偏离度绝对值调整到0.25%以内。当负偏离度绝对值达到0.5%时，产品管理人应当采取相应措施，将负偏离度绝对值控制在0.5%以内。当负偏离度绝对值连续两个交易日超过0.5%时，产品管理人应当采用公允价值估值方法对持有投资组合的账面价值进行调整，或者采取暂停接受所有赎回申请并终止产品合同进行财产清算等措施。</w:t>
      </w:r>
    </w:p>
    <w:p>
      <w:pPr>
        <w:ind w:firstLine="403"/>
        <w:rPr>
          <w:rFonts w:hint="eastAsia" w:ascii="宋体" w:hAnsi="宋体"/>
          <w:sz w:val="18"/>
          <w:szCs w:val="18"/>
        </w:rPr>
      </w:pPr>
      <w:r>
        <w:rPr>
          <w:rFonts w:hint="eastAsia" w:ascii="宋体" w:hAnsi="宋体"/>
          <w:sz w:val="18"/>
          <w:szCs w:val="18"/>
        </w:rPr>
        <w:t>相关法律法规以及监管部门有最新规定的，按其规定进行估值。</w:t>
      </w:r>
    </w:p>
    <w:p>
      <w:pPr>
        <w:ind w:firstLine="403"/>
        <w:rPr>
          <w:rFonts w:hint="eastAsia" w:ascii="宋体" w:hAnsi="宋体"/>
          <w:b/>
          <w:color w:val="000000"/>
          <w:sz w:val="18"/>
          <w:szCs w:val="18"/>
        </w:rPr>
      </w:pPr>
      <w:r>
        <w:rPr>
          <w:rFonts w:hint="eastAsia" w:ascii="宋体" w:hAnsi="宋体"/>
          <w:sz w:val="18"/>
          <w:szCs w:val="18"/>
        </w:rPr>
        <w:t>产品管理人和托管人将采取必要、适当合理的措施确保产品资产估值的准确性、及时性。如有确凿证据表明按上述方法进行计价不能客观反映其公允价值的，产品管理人可根据具体情况与托管人商定后，按最能反映公允价值的方法计价。</w:t>
      </w:r>
      <w:r>
        <w:rPr>
          <w:rFonts w:hint="eastAsia" w:ascii="宋体" w:hAnsi="宋体"/>
          <w:b/>
          <w:color w:val="000000"/>
          <w:sz w:val="18"/>
          <w:szCs w:val="18"/>
        </w:rPr>
        <w:t>在任何情况下，产品管理人与托管人所共同认可的估值方法均视为客观、公允的估值方法。该产品估值均以产品公布的估值结果为准。</w:t>
      </w:r>
    </w:p>
    <w:p>
      <w:pPr>
        <w:adjustRightInd w:val="0"/>
        <w:snapToGrid w:val="0"/>
        <w:ind w:firstLine="361" w:firstLineChars="200"/>
        <w:outlineLvl w:val="1"/>
        <w:rPr>
          <w:rFonts w:hint="eastAsia" w:ascii="彩虹粗仿宋" w:hAnsi="宋体" w:eastAsia="彩虹粗仿宋" w:cs="宋体"/>
          <w:b/>
          <w:sz w:val="28"/>
          <w:szCs w:val="28"/>
        </w:rPr>
      </w:pPr>
      <w:r>
        <w:rPr>
          <w:rFonts w:hint="eastAsia" w:ascii="宋体" w:hAnsi="宋体"/>
          <w:b/>
          <w:color w:val="000000"/>
          <w:sz w:val="18"/>
          <w:szCs w:val="18"/>
        </w:rPr>
        <w:t xml:space="preserve">（四）估值错误的处理 </w:t>
      </w:r>
    </w:p>
    <w:p>
      <w:pPr>
        <w:adjustRightInd w:val="0"/>
        <w:snapToGrid w:val="0"/>
        <w:ind w:firstLine="360" w:firstLineChars="200"/>
        <w:rPr>
          <w:rFonts w:hint="eastAsia" w:ascii="宋体" w:hAnsi="宋体"/>
          <w:color w:val="000000"/>
          <w:sz w:val="18"/>
          <w:szCs w:val="18"/>
        </w:rPr>
      </w:pPr>
      <w:r>
        <w:rPr>
          <w:rFonts w:hint="eastAsia" w:ascii="宋体" w:hAnsi="宋体"/>
          <w:sz w:val="18"/>
          <w:szCs w:val="18"/>
        </w:rPr>
        <w:t>产品管理人和产品托管人将采取必要、适当合理的措施确保产品资产估值的准确性、及时性。当产品份额净值出现错误时，产品管理人应当立即予以纠正，并采取合理的措施防止损失进一步扩大。</w:t>
      </w:r>
      <w:r>
        <w:rPr>
          <w:rFonts w:hint="eastAsia" w:ascii="宋体" w:hAnsi="宋体"/>
          <w:b/>
          <w:color w:val="000000"/>
          <w:sz w:val="18"/>
          <w:szCs w:val="18"/>
        </w:rPr>
        <w:t>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w:t>
      </w:r>
      <w:r>
        <w:rPr>
          <w:rFonts w:hint="eastAsia" w:ascii="宋体" w:hAnsi="宋体"/>
          <w:color w:val="000000"/>
          <w:sz w:val="18"/>
          <w:szCs w:val="18"/>
        </w:rPr>
        <w:t>但产品管理人和产品托管人应当积极采取必要的措施消除由此造成的影响。</w:t>
      </w:r>
      <w:r>
        <w:rPr>
          <w:rFonts w:hint="eastAsia" w:ascii="宋体" w:hAnsi="宋体"/>
          <w:b/>
          <w:color w:val="000000"/>
          <w:sz w:val="18"/>
          <w:szCs w:val="18"/>
        </w:rPr>
        <w:t xml:space="preserve"> </w:t>
      </w:r>
    </w:p>
    <w:p>
      <w:pPr>
        <w:adjustRightInd w:val="0"/>
        <w:snapToGrid w:val="0"/>
        <w:ind w:firstLine="361" w:firstLineChars="200"/>
        <w:outlineLvl w:val="1"/>
        <w:rPr>
          <w:rFonts w:hint="eastAsia" w:ascii="宋体" w:hAnsi="宋体"/>
          <w:b/>
          <w:color w:val="000000"/>
          <w:sz w:val="18"/>
          <w:szCs w:val="18"/>
        </w:rPr>
      </w:pPr>
      <w:r>
        <w:rPr>
          <w:rFonts w:hint="eastAsia" w:ascii="宋体" w:hAnsi="宋体"/>
          <w:b/>
          <w:color w:val="000000"/>
          <w:sz w:val="18"/>
          <w:szCs w:val="18"/>
        </w:rPr>
        <w:t xml:space="preserve">（五）暂停估值 </w:t>
      </w:r>
    </w:p>
    <w:p>
      <w:pPr>
        <w:ind w:firstLine="361" w:firstLineChars="200"/>
        <w:rPr>
          <w:rFonts w:hint="eastAsia" w:ascii="宋体" w:hAnsi="宋体"/>
          <w:b/>
          <w:sz w:val="18"/>
          <w:szCs w:val="18"/>
        </w:rPr>
      </w:pPr>
      <w:r>
        <w:rPr>
          <w:rFonts w:hint="eastAsia" w:ascii="宋体" w:hAnsi="宋体"/>
          <w:b/>
          <w:sz w:val="18"/>
          <w:szCs w:val="18"/>
        </w:rPr>
        <w:t>若出现如下情况之一，产品管理人可暂停产品的估值直至另行通知：</w:t>
      </w:r>
    </w:p>
    <w:p>
      <w:pPr>
        <w:ind w:firstLine="360" w:firstLineChars="2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1</w:t>
      </w:r>
      <w:r>
        <w:rPr>
          <w:rFonts w:hint="eastAsia" w:ascii="宋体" w:hAnsi="宋体"/>
          <w:sz w:val="18"/>
          <w:szCs w:val="18"/>
          <w:u w:val="single"/>
        </w:rPr>
        <w:t>）在前一估值日内，产品资产净值</w:t>
      </w:r>
      <w:r>
        <w:rPr>
          <w:rFonts w:ascii="宋体" w:hAnsi="宋体"/>
          <w:sz w:val="18"/>
          <w:szCs w:val="18"/>
          <w:u w:val="single"/>
        </w:rPr>
        <w:t>50%以上的资产不具备活跃交易市场或者在活跃市场中无报价，且不能采用估值技术可靠计量公允价值；</w:t>
      </w:r>
    </w:p>
    <w:p>
      <w:pPr>
        <w:ind w:firstLine="360" w:firstLineChars="2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2</w:t>
      </w:r>
      <w:r>
        <w:rPr>
          <w:rFonts w:hint="eastAsia" w:ascii="宋体" w:hAnsi="宋体"/>
          <w:sz w:val="18"/>
          <w:szCs w:val="18"/>
          <w:u w:val="single"/>
        </w:rPr>
        <w:t>）因不可抗力或其他情形致使产品管理人、托管人无法准确评估资产价值；</w:t>
      </w:r>
    </w:p>
    <w:p>
      <w:pPr>
        <w:ind w:firstLine="360" w:firstLineChars="2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3</w:t>
      </w:r>
      <w:r>
        <w:rPr>
          <w:rFonts w:hint="eastAsia" w:ascii="宋体" w:hAnsi="宋体"/>
          <w:sz w:val="18"/>
          <w:szCs w:val="18"/>
          <w:u w:val="single"/>
        </w:rPr>
        <w:t>）本产品投资的信托计划</w:t>
      </w:r>
      <w:r>
        <w:rPr>
          <w:rFonts w:ascii="宋体" w:hAnsi="宋体"/>
          <w:sz w:val="18"/>
          <w:szCs w:val="18"/>
          <w:u w:val="single"/>
        </w:rPr>
        <w:t>/资产管理计划/公募证券投资基金</w:t>
      </w:r>
      <w:r>
        <w:rPr>
          <w:rFonts w:hint="eastAsia" w:ascii="宋体" w:hAnsi="宋体"/>
          <w:sz w:val="18"/>
          <w:szCs w:val="18"/>
          <w:u w:val="single"/>
        </w:rPr>
        <w:t>等</w:t>
      </w:r>
      <w:r>
        <w:rPr>
          <w:rFonts w:ascii="宋体" w:hAnsi="宋体"/>
          <w:sz w:val="18"/>
          <w:szCs w:val="18"/>
          <w:u w:val="single"/>
        </w:rPr>
        <w:t>合同约定暂停估值或无法估值的情形发生，导致本产品无法估值的；</w:t>
      </w:r>
    </w:p>
    <w:p>
      <w:pPr>
        <w:ind w:firstLine="360" w:firstLineChars="2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4</w:t>
      </w:r>
      <w:r>
        <w:rPr>
          <w:rFonts w:hint="eastAsia" w:ascii="宋体" w:hAnsi="宋体"/>
          <w:sz w:val="18"/>
          <w:szCs w:val="18"/>
          <w:u w:val="single"/>
        </w:rPr>
        <w:t>）本产品管理人、托管人有合理理由认为将影响本理财产品估值的其他情形；</w:t>
      </w:r>
    </w:p>
    <w:p>
      <w:pPr>
        <w:ind w:firstLine="360" w:firstLineChars="200"/>
        <w:rPr>
          <w:rFonts w:hint="eastAsia" w:ascii="宋体" w:hAnsi="宋体"/>
          <w:sz w:val="18"/>
          <w:szCs w:val="18"/>
          <w:u w:val="single"/>
        </w:rPr>
      </w:pPr>
      <w:r>
        <w:rPr>
          <w:rFonts w:hint="eastAsia" w:ascii="宋体" w:hAnsi="宋体"/>
          <w:sz w:val="18"/>
          <w:szCs w:val="18"/>
          <w:u w:val="single"/>
        </w:rPr>
        <w:t>（</w:t>
      </w:r>
      <w:r>
        <w:rPr>
          <w:rFonts w:ascii="宋体" w:hAnsi="宋体"/>
          <w:sz w:val="18"/>
          <w:szCs w:val="18"/>
          <w:u w:val="single"/>
        </w:rPr>
        <w:t>5</w:t>
      </w:r>
      <w:r>
        <w:rPr>
          <w:rFonts w:hint="eastAsia" w:ascii="宋体" w:hAnsi="宋体"/>
          <w:sz w:val="18"/>
          <w:szCs w:val="18"/>
          <w:u w:val="single"/>
        </w:rPr>
        <w:t>）法律、法规或相关监管机构认定的其他情形。</w:t>
      </w:r>
    </w:p>
    <w:p>
      <w:pPr>
        <w:ind w:firstLine="360" w:firstLineChars="200"/>
        <w:rPr>
          <w:rFonts w:hint="eastAsia" w:ascii="宋体" w:hAnsi="宋体"/>
          <w:sz w:val="18"/>
          <w:szCs w:val="18"/>
          <w:u w:val="single"/>
        </w:rPr>
      </w:pPr>
    </w:p>
    <w:p>
      <w:pPr>
        <w:ind w:firstLine="482" w:firstLineChars="200"/>
        <w:outlineLvl w:val="0"/>
        <w:rPr>
          <w:rFonts w:hint="eastAsia" w:ascii="宋体" w:hAnsi="宋体"/>
          <w:b/>
          <w:color w:val="000000"/>
          <w:sz w:val="24"/>
          <w:szCs w:val="24"/>
        </w:rPr>
      </w:pPr>
      <w:r>
        <w:rPr>
          <w:rFonts w:hint="eastAsia" w:ascii="宋体" w:hAnsi="宋体"/>
          <w:b/>
          <w:color w:val="000000"/>
          <w:sz w:val="24"/>
          <w:szCs w:val="24"/>
        </w:rPr>
        <w:t>五、产品收益与费用、税收说明</w:t>
      </w:r>
    </w:p>
    <w:p>
      <w:pPr>
        <w:ind w:firstLine="361" w:firstLineChars="200"/>
        <w:outlineLvl w:val="1"/>
        <w:rPr>
          <w:rFonts w:hint="eastAsia" w:ascii="宋体" w:hAnsi="宋体"/>
          <w:b/>
          <w:sz w:val="18"/>
          <w:szCs w:val="18"/>
        </w:rPr>
      </w:pPr>
      <w:r>
        <w:rPr>
          <w:rFonts w:hint="eastAsia" w:ascii="宋体" w:hAnsi="宋体"/>
          <w:b/>
          <w:sz w:val="18"/>
          <w:szCs w:val="18"/>
        </w:rPr>
        <w:t xml:space="preserve">（一）产品收益分配原则 </w:t>
      </w:r>
    </w:p>
    <w:p>
      <w:pPr>
        <w:ind w:firstLine="361" w:firstLineChars="200"/>
        <w:rPr>
          <w:rFonts w:hint="eastAsia" w:ascii="宋体" w:hAnsi="宋体"/>
          <w:b/>
          <w:sz w:val="18"/>
          <w:szCs w:val="18"/>
        </w:rPr>
      </w:pPr>
      <w:r>
        <w:rPr>
          <w:rFonts w:hint="eastAsia" w:ascii="宋体" w:hAnsi="宋体"/>
          <w:b/>
          <w:sz w:val="18"/>
          <w:szCs w:val="18"/>
        </w:rPr>
        <w:t>1.每一产品份额享有同等分配权；</w:t>
      </w:r>
    </w:p>
    <w:p>
      <w:pPr>
        <w:ind w:firstLine="361" w:firstLineChars="200"/>
        <w:rPr>
          <w:rFonts w:hint="eastAsia" w:ascii="宋体" w:hAnsi="宋体"/>
          <w:b/>
          <w:sz w:val="18"/>
          <w:szCs w:val="18"/>
        </w:rPr>
      </w:pPr>
      <w:r>
        <w:rPr>
          <w:rFonts w:hint="eastAsia" w:ascii="宋体" w:hAnsi="宋体"/>
          <w:b/>
          <w:sz w:val="18"/>
          <w:szCs w:val="18"/>
        </w:rPr>
        <w:t>2</w:t>
      </w:r>
      <w:r>
        <w:rPr>
          <w:rFonts w:ascii="宋体" w:hAnsi="宋体"/>
          <w:b/>
          <w:sz w:val="18"/>
          <w:szCs w:val="18"/>
        </w:rPr>
        <w:t>.</w:t>
      </w:r>
      <w:r>
        <w:rPr>
          <w:rFonts w:hint="eastAsia" w:ascii="宋体" w:hAnsi="宋体"/>
          <w:b/>
          <w:sz w:val="18"/>
          <w:szCs w:val="18"/>
        </w:rPr>
        <w:t>本产品每个开放日（T日）将上一开放日（T-1日）和后续非开放日实现的净收益通过分红转份额方式进行分配，并将该部分收益按日结转到投资者理财账户。</w:t>
      </w:r>
    </w:p>
    <w:p>
      <w:pPr>
        <w:ind w:firstLine="361" w:firstLineChars="200"/>
        <w:rPr>
          <w:rFonts w:hint="eastAsia" w:ascii="宋体" w:hAnsi="宋体"/>
          <w:b/>
          <w:sz w:val="18"/>
          <w:szCs w:val="18"/>
        </w:rPr>
      </w:pPr>
      <w:r>
        <w:rPr>
          <w:rFonts w:hint="eastAsia" w:ascii="宋体" w:hAnsi="宋体"/>
          <w:b/>
          <w:sz w:val="18"/>
          <w:szCs w:val="18"/>
        </w:rPr>
        <w:t>3</w:t>
      </w:r>
      <w:r>
        <w:rPr>
          <w:rFonts w:ascii="宋体" w:hAnsi="宋体"/>
          <w:b/>
          <w:sz w:val="18"/>
          <w:szCs w:val="18"/>
        </w:rPr>
        <w:t>.</w:t>
      </w:r>
      <w:r>
        <w:rPr>
          <w:rFonts w:hint="eastAsia" w:ascii="宋体" w:hAnsi="宋体"/>
          <w:b/>
          <w:sz w:val="18"/>
          <w:szCs w:val="18"/>
        </w:rPr>
        <w:t>若产品当日已实现收益大于零时，则将增加投资者持有的产品份额；若产品当日已实现收益等于零时，则保持投资者持有的产品份额不变；若当日已实现收益小于零时，则为投资者记未付收益为负值，不缩减投资者的持有份额，待冲减日后的已实现正收益，当其累计收益大于零时，再增加投资者持有的产品份额；</w:t>
      </w:r>
    </w:p>
    <w:p>
      <w:pPr>
        <w:ind w:firstLine="361" w:firstLineChars="200"/>
        <w:rPr>
          <w:rFonts w:hint="eastAsia" w:ascii="宋体" w:hAnsi="宋体"/>
          <w:b/>
          <w:sz w:val="18"/>
          <w:szCs w:val="18"/>
        </w:rPr>
      </w:pPr>
      <w:r>
        <w:rPr>
          <w:rFonts w:hint="eastAsia" w:ascii="宋体" w:hAnsi="宋体"/>
          <w:b/>
          <w:sz w:val="18"/>
          <w:szCs w:val="18"/>
        </w:rPr>
        <w:t>若投资者全额赎回产品份额，其未付收益将结清，未付收益为负值的，则从投资者赎回款中扣除；</w:t>
      </w:r>
    </w:p>
    <w:p>
      <w:pPr>
        <w:ind w:firstLine="361" w:firstLineChars="200"/>
        <w:rPr>
          <w:rFonts w:hint="eastAsia" w:ascii="宋体" w:hAnsi="宋体"/>
          <w:b/>
          <w:sz w:val="18"/>
          <w:szCs w:val="18"/>
        </w:rPr>
      </w:pPr>
      <w:r>
        <w:rPr>
          <w:rFonts w:hint="eastAsia" w:ascii="宋体" w:hAnsi="宋体"/>
          <w:b/>
          <w:sz w:val="18"/>
          <w:szCs w:val="18"/>
        </w:rPr>
        <w:t>若投资者部分赎回产品份额，其未付收益为正值的，未付收益将于下一个工作日（T</w:t>
      </w:r>
      <w:r>
        <w:rPr>
          <w:rFonts w:ascii="宋体" w:hAnsi="宋体"/>
          <w:b/>
          <w:sz w:val="18"/>
          <w:szCs w:val="18"/>
        </w:rPr>
        <w:t>+1</w:t>
      </w:r>
      <w:r>
        <w:rPr>
          <w:rFonts w:hint="eastAsia" w:ascii="宋体" w:hAnsi="宋体"/>
          <w:b/>
          <w:sz w:val="18"/>
          <w:szCs w:val="18"/>
        </w:rPr>
        <w:t>日</w:t>
      </w:r>
      <w:r>
        <w:rPr>
          <w:rFonts w:ascii="宋体" w:hAnsi="宋体"/>
          <w:b/>
          <w:sz w:val="18"/>
          <w:szCs w:val="18"/>
        </w:rPr>
        <w:t>）</w:t>
      </w:r>
      <w:r>
        <w:rPr>
          <w:rFonts w:hint="eastAsia" w:ascii="宋体" w:hAnsi="宋体"/>
          <w:b/>
          <w:sz w:val="18"/>
          <w:szCs w:val="18"/>
        </w:rPr>
        <w:t>结转至投资者理财账户；未付收益为负值的，则按投资者申请赎回份额占全部持仓份额比例计算本次赎回未付收益，并从投资者赎回款中扣除。</w:t>
      </w:r>
    </w:p>
    <w:p>
      <w:pPr>
        <w:ind w:right="105" w:rightChars="50" w:firstLine="361" w:firstLineChars="200"/>
        <w:rPr>
          <w:rFonts w:hint="eastAsia" w:ascii="宋体" w:hAnsi="宋体"/>
          <w:b/>
          <w:sz w:val="18"/>
          <w:szCs w:val="18"/>
        </w:rPr>
      </w:pPr>
      <w:r>
        <w:rPr>
          <w:rFonts w:ascii="宋体" w:hAnsi="宋体"/>
          <w:b/>
          <w:sz w:val="18"/>
          <w:szCs w:val="18"/>
        </w:rPr>
        <w:t>4</w:t>
      </w:r>
      <w:r>
        <w:rPr>
          <w:rFonts w:hint="eastAsia" w:ascii="宋体" w:hAnsi="宋体"/>
          <w:b/>
          <w:sz w:val="18"/>
          <w:szCs w:val="18"/>
        </w:rPr>
        <w:t>.投资者当日收益分配的计算保留到小数点后</w:t>
      </w:r>
      <w:r>
        <w:rPr>
          <w:rFonts w:ascii="宋体" w:hAnsi="宋体"/>
          <w:b/>
          <w:sz w:val="18"/>
          <w:szCs w:val="18"/>
        </w:rPr>
        <w:t>2位，小数点后第3位及之后数值舍去。</w:t>
      </w:r>
      <w:r>
        <w:rPr>
          <w:rFonts w:hint="eastAsia" w:ascii="宋体" w:hAnsi="宋体"/>
          <w:b/>
          <w:sz w:val="18"/>
          <w:szCs w:val="18"/>
        </w:rPr>
        <w:t>因舍位产生的收益余额进行再次分配，直到分完为止。</w:t>
      </w:r>
    </w:p>
    <w:p>
      <w:pPr>
        <w:ind w:firstLine="361" w:firstLineChars="200"/>
        <w:rPr>
          <w:rFonts w:hint="eastAsia" w:ascii="宋体" w:hAnsi="宋体" w:cs="宋体"/>
          <w:b/>
          <w:kern w:val="0"/>
          <w:sz w:val="18"/>
          <w:szCs w:val="18"/>
        </w:rPr>
      </w:pPr>
      <w:r>
        <w:rPr>
          <w:rFonts w:ascii="宋体" w:hAnsi="宋体"/>
          <w:b/>
          <w:sz w:val="18"/>
          <w:szCs w:val="18"/>
        </w:rPr>
        <w:t>5.</w:t>
      </w:r>
      <w:r>
        <w:rPr>
          <w:rFonts w:hint="eastAsia" w:ascii="宋体" w:hAnsi="宋体"/>
          <w:b/>
          <w:sz w:val="18"/>
          <w:szCs w:val="18"/>
        </w:rPr>
        <w:t>投资者当日申购且成功确认的产品份额自下一个工作日起，享有产品的收益分配权益；当日赎回且成功确认的产品份额自下一个工作日起，不享有产品的收益分配权益。</w:t>
      </w:r>
    </w:p>
    <w:p>
      <w:pPr>
        <w:ind w:right="189" w:rightChars="90" w:firstLine="361" w:firstLineChars="200"/>
        <w:rPr>
          <w:rFonts w:hint="eastAsia" w:ascii="宋体" w:hAnsi="宋体"/>
          <w:b/>
          <w:sz w:val="18"/>
          <w:szCs w:val="18"/>
        </w:rPr>
      </w:pPr>
      <w:r>
        <w:rPr>
          <w:rFonts w:hint="eastAsia" w:ascii="宋体" w:hAnsi="宋体"/>
          <w:b/>
          <w:sz w:val="18"/>
          <w:szCs w:val="18"/>
        </w:rPr>
        <w:t>6.法律、法规或监管机构另有规定的，从其规定。</w:t>
      </w:r>
    </w:p>
    <w:p>
      <w:pPr>
        <w:ind w:firstLine="349" w:firstLineChars="193"/>
        <w:outlineLvl w:val="1"/>
        <w:rPr>
          <w:rFonts w:hint="eastAsia" w:ascii="宋体" w:hAnsi="宋体"/>
          <w:b/>
          <w:color w:val="000000"/>
          <w:sz w:val="18"/>
          <w:szCs w:val="18"/>
        </w:rPr>
      </w:pPr>
      <w:r>
        <w:rPr>
          <w:rFonts w:hint="eastAsia" w:ascii="宋体" w:hAnsi="宋体"/>
          <w:b/>
          <w:color w:val="000000"/>
          <w:sz w:val="18"/>
          <w:szCs w:val="18"/>
        </w:rPr>
        <w:t>（二）产品费用计提方法和计提标准</w:t>
      </w:r>
    </w:p>
    <w:p>
      <w:pPr>
        <w:autoSpaceDE w:val="0"/>
        <w:autoSpaceDN w:val="0"/>
        <w:adjustRightInd w:val="0"/>
        <w:ind w:firstLine="361" w:firstLineChars="200"/>
        <w:jc w:val="left"/>
        <w:rPr>
          <w:rFonts w:hint="eastAsia" w:ascii="宋体" w:hAnsi="宋体"/>
          <w:b/>
          <w:sz w:val="18"/>
          <w:szCs w:val="18"/>
        </w:rPr>
      </w:pPr>
      <w:r>
        <w:rPr>
          <w:rFonts w:hint="eastAsia" w:ascii="宋体" w:hAnsi="宋体"/>
          <w:b/>
          <w:sz w:val="18"/>
          <w:szCs w:val="18"/>
        </w:rPr>
        <w:t>1.销售费：本产品销售费按</w:t>
      </w:r>
      <w:r>
        <w:rPr>
          <w:rFonts w:hint="eastAsia" w:ascii="宋体" w:hAnsi="宋体"/>
          <w:b/>
          <w:sz w:val="18"/>
          <w:szCs w:val="18"/>
          <w:lang w:eastAsia="zh-CN"/>
        </w:rPr>
        <w:t>当日理财产品份额总数</w:t>
      </w:r>
      <w:r>
        <w:rPr>
          <w:rFonts w:hint="eastAsia" w:ascii="宋体" w:hAnsi="宋体"/>
          <w:b/>
          <w:sz w:val="18"/>
          <w:szCs w:val="18"/>
        </w:rPr>
        <w:t>的0.20%/年费率每日计提。S＝E×0.20%÷365，S为每日应计提的销售费，E为</w:t>
      </w:r>
      <w:r>
        <w:rPr>
          <w:rFonts w:hint="eastAsia" w:ascii="宋体" w:hAnsi="宋体"/>
          <w:b/>
          <w:sz w:val="18"/>
          <w:szCs w:val="18"/>
          <w:lang w:eastAsia="zh-CN"/>
        </w:rPr>
        <w:t>当日理财产品份额总数</w:t>
      </w:r>
      <w:r>
        <w:rPr>
          <w:rFonts w:hint="eastAsia" w:ascii="宋体" w:hAnsi="宋体"/>
          <w:b/>
          <w:sz w:val="18"/>
          <w:szCs w:val="18"/>
        </w:rPr>
        <w:t>（下同）；</w:t>
      </w:r>
    </w:p>
    <w:p>
      <w:pPr>
        <w:ind w:firstLine="360" w:firstLineChars="200"/>
        <w:rPr>
          <w:rFonts w:hint="eastAsia" w:ascii="宋体" w:hAnsi="宋体"/>
          <w:sz w:val="18"/>
          <w:szCs w:val="18"/>
        </w:rPr>
      </w:pPr>
      <w:r>
        <w:rPr>
          <w:rFonts w:hint="eastAsia" w:ascii="宋体" w:hAnsi="宋体"/>
          <w:sz w:val="18"/>
          <w:szCs w:val="18"/>
        </w:rPr>
        <w:t>销售费计提起止时间：产品成立日后第一个自然日至产品提前终止日。</w:t>
      </w:r>
    </w:p>
    <w:p>
      <w:pPr>
        <w:autoSpaceDE w:val="0"/>
        <w:autoSpaceDN w:val="0"/>
        <w:adjustRightInd w:val="0"/>
        <w:ind w:firstLine="361" w:firstLineChars="200"/>
        <w:jc w:val="left"/>
        <w:rPr>
          <w:rFonts w:hint="eastAsia" w:ascii="宋体" w:hAnsi="宋体"/>
          <w:b/>
          <w:sz w:val="18"/>
          <w:szCs w:val="18"/>
        </w:rPr>
      </w:pPr>
      <w:r>
        <w:rPr>
          <w:rFonts w:hint="eastAsia" w:ascii="宋体" w:hAnsi="宋体" w:cs="宋体"/>
          <w:b/>
          <w:kern w:val="0"/>
          <w:sz w:val="18"/>
          <w:szCs w:val="18"/>
        </w:rPr>
        <w:t>2.固定</w:t>
      </w:r>
      <w:r>
        <w:rPr>
          <w:rFonts w:hint="eastAsia" w:ascii="宋体" w:hAnsi="宋体"/>
          <w:b/>
          <w:sz w:val="18"/>
          <w:szCs w:val="18"/>
        </w:rPr>
        <w:t>管理费：本产品固定管理费按</w:t>
      </w:r>
      <w:r>
        <w:rPr>
          <w:rFonts w:hint="eastAsia" w:ascii="宋体" w:hAnsi="宋体"/>
          <w:b/>
          <w:sz w:val="18"/>
          <w:szCs w:val="18"/>
          <w:lang w:eastAsia="zh-CN"/>
        </w:rPr>
        <w:t>当日理财产品份额总数</w:t>
      </w:r>
      <w:r>
        <w:rPr>
          <w:rFonts w:hint="eastAsia" w:ascii="宋体" w:hAnsi="宋体"/>
          <w:b/>
          <w:sz w:val="18"/>
          <w:szCs w:val="18"/>
        </w:rPr>
        <w:t>的0.15%/年费率每日计提。H＝E×0.15%÷365，H为每日应计提的固定管理费；</w:t>
      </w:r>
    </w:p>
    <w:p>
      <w:pPr>
        <w:ind w:firstLine="360" w:firstLineChars="200"/>
        <w:rPr>
          <w:rFonts w:hint="eastAsia" w:ascii="宋体" w:hAnsi="宋体"/>
          <w:sz w:val="18"/>
          <w:szCs w:val="18"/>
        </w:rPr>
      </w:pPr>
      <w:r>
        <w:rPr>
          <w:rFonts w:hint="eastAsia" w:ascii="宋体" w:hAnsi="宋体"/>
          <w:sz w:val="18"/>
          <w:szCs w:val="18"/>
        </w:rPr>
        <w:t>固定管理费计提起止时间：产品成立日后第一个自然日至产品提前终止日。</w:t>
      </w:r>
    </w:p>
    <w:p>
      <w:pPr>
        <w:autoSpaceDE w:val="0"/>
        <w:autoSpaceDN w:val="0"/>
        <w:adjustRightInd w:val="0"/>
        <w:ind w:firstLine="361" w:firstLineChars="200"/>
        <w:jc w:val="left"/>
        <w:rPr>
          <w:rFonts w:hint="eastAsia" w:ascii="宋体" w:hAnsi="宋体"/>
          <w:b/>
          <w:sz w:val="18"/>
          <w:szCs w:val="18"/>
        </w:rPr>
      </w:pPr>
      <w:r>
        <w:rPr>
          <w:rFonts w:ascii="宋体" w:hAnsi="宋体" w:cs="宋体"/>
          <w:b/>
          <w:kern w:val="0"/>
          <w:sz w:val="18"/>
          <w:szCs w:val="18"/>
        </w:rPr>
        <w:t>3.</w:t>
      </w:r>
      <w:r>
        <w:rPr>
          <w:rFonts w:hint="eastAsia" w:ascii="宋体" w:hAnsi="宋体"/>
          <w:b/>
          <w:sz w:val="18"/>
          <w:szCs w:val="18"/>
        </w:rPr>
        <w:t>托管费：本产品托管费按</w:t>
      </w:r>
      <w:r>
        <w:rPr>
          <w:rFonts w:hint="eastAsia" w:ascii="宋体" w:hAnsi="宋体"/>
          <w:b/>
          <w:sz w:val="18"/>
          <w:szCs w:val="18"/>
          <w:lang w:eastAsia="zh-CN"/>
        </w:rPr>
        <w:t>当日理财产品份额总数</w:t>
      </w:r>
      <w:r>
        <w:rPr>
          <w:rFonts w:hint="eastAsia" w:ascii="宋体" w:hAnsi="宋体"/>
          <w:b/>
          <w:sz w:val="18"/>
          <w:szCs w:val="18"/>
        </w:rPr>
        <w:t>的</w:t>
      </w:r>
      <w:r>
        <w:rPr>
          <w:rFonts w:ascii="宋体" w:hAnsi="宋体"/>
          <w:b/>
          <w:sz w:val="18"/>
          <w:szCs w:val="18"/>
        </w:rPr>
        <w:t>0.02%/年费率</w:t>
      </w:r>
      <w:r>
        <w:rPr>
          <w:rFonts w:hint="eastAsia" w:ascii="宋体" w:hAnsi="宋体"/>
          <w:b/>
          <w:sz w:val="18"/>
          <w:szCs w:val="18"/>
        </w:rPr>
        <w:t>每日</w:t>
      </w:r>
      <w:r>
        <w:rPr>
          <w:rFonts w:ascii="宋体" w:hAnsi="宋体"/>
          <w:b/>
          <w:sz w:val="18"/>
          <w:szCs w:val="18"/>
        </w:rPr>
        <w:t>计提。G＝E×0.02%÷</w:t>
      </w:r>
      <w:r>
        <w:rPr>
          <w:rFonts w:hint="eastAsia" w:ascii="宋体" w:hAnsi="宋体"/>
          <w:b/>
          <w:sz w:val="18"/>
          <w:szCs w:val="18"/>
        </w:rPr>
        <w:t>365</w:t>
      </w:r>
      <w:r>
        <w:rPr>
          <w:rFonts w:ascii="宋体" w:hAnsi="宋体"/>
          <w:b/>
          <w:sz w:val="18"/>
          <w:szCs w:val="18"/>
        </w:rPr>
        <w:t>，G为每日应计提的托管费；</w:t>
      </w:r>
    </w:p>
    <w:p>
      <w:pPr>
        <w:ind w:firstLine="360" w:firstLineChars="200"/>
        <w:rPr>
          <w:rFonts w:hint="eastAsia" w:ascii="宋体" w:hAnsi="宋体"/>
          <w:b/>
          <w:sz w:val="18"/>
          <w:szCs w:val="18"/>
        </w:rPr>
      </w:pPr>
      <w:r>
        <w:rPr>
          <w:rFonts w:hint="eastAsia" w:ascii="宋体" w:hAnsi="宋体"/>
          <w:sz w:val="18"/>
          <w:szCs w:val="18"/>
        </w:rPr>
        <w:t>托管费计提起止时间：产品成立日后第一个自然日至产品提前终止日。</w:t>
      </w:r>
    </w:p>
    <w:p>
      <w:pPr>
        <w:ind w:firstLine="349" w:firstLineChars="193"/>
        <w:rPr>
          <w:rFonts w:hint="eastAsia" w:ascii="宋体" w:hAnsi="宋体"/>
          <w:b/>
          <w:color w:val="000000"/>
          <w:sz w:val="18"/>
          <w:szCs w:val="18"/>
        </w:rPr>
      </w:pPr>
      <w:r>
        <w:rPr>
          <w:rFonts w:ascii="宋体" w:hAnsi="宋体"/>
          <w:b/>
          <w:sz w:val="18"/>
          <w:szCs w:val="18"/>
        </w:rPr>
        <w:t>4.</w:t>
      </w:r>
      <w:r>
        <w:rPr>
          <w:rFonts w:hint="eastAsia" w:ascii="宋体" w:hAnsi="宋体"/>
          <w:b/>
          <w:sz w:val="18"/>
          <w:szCs w:val="18"/>
        </w:rPr>
        <w:t>超额</w:t>
      </w:r>
      <w:r>
        <w:rPr>
          <w:rFonts w:ascii="宋体" w:hAnsi="宋体"/>
          <w:b/>
          <w:sz w:val="18"/>
          <w:szCs w:val="18"/>
        </w:rPr>
        <w:t>业绩报酬：</w:t>
      </w:r>
      <w:r>
        <w:rPr>
          <w:rFonts w:hint="eastAsia" w:ascii="宋体" w:hAnsi="宋体"/>
          <w:b/>
          <w:color w:val="000000"/>
          <w:sz w:val="18"/>
          <w:szCs w:val="18"/>
        </w:rPr>
        <w:t>本产品不收取超额业绩报酬。</w:t>
      </w:r>
    </w:p>
    <w:p>
      <w:pPr>
        <w:ind w:firstLine="349" w:firstLineChars="193"/>
        <w:rPr>
          <w:rFonts w:hint="eastAsia" w:ascii="宋体" w:hAnsi="宋体"/>
          <w:b/>
          <w:color w:val="000000"/>
          <w:sz w:val="18"/>
          <w:szCs w:val="18"/>
        </w:rPr>
      </w:pPr>
      <w:r>
        <w:rPr>
          <w:rFonts w:ascii="宋体" w:hAnsi="宋体"/>
          <w:b/>
          <w:color w:val="000000"/>
          <w:sz w:val="18"/>
          <w:szCs w:val="18"/>
        </w:rPr>
        <w:t>5.</w:t>
      </w:r>
      <w:r>
        <w:rPr>
          <w:rFonts w:hint="eastAsia" w:ascii="宋体" w:hAnsi="宋体"/>
          <w:b/>
          <w:color w:val="000000"/>
          <w:sz w:val="18"/>
          <w:szCs w:val="18"/>
        </w:rPr>
        <w:t>强制赎回费用：</w:t>
      </w:r>
    </w:p>
    <w:p>
      <w:pPr>
        <w:ind w:firstLine="349" w:firstLineChars="193"/>
        <w:rPr>
          <w:rFonts w:hint="eastAsia" w:ascii="宋体" w:hAnsi="宋体"/>
          <w:b/>
          <w:color w:val="000000"/>
          <w:sz w:val="18"/>
          <w:szCs w:val="18"/>
        </w:rPr>
      </w:pPr>
      <w:r>
        <w:rPr>
          <w:rFonts w:hint="eastAsia" w:ascii="宋体" w:hAnsi="宋体"/>
          <w:b/>
          <w:color w:val="000000"/>
          <w:sz w:val="18"/>
          <w:szCs w:val="18"/>
        </w:rPr>
        <w:t>（1）在满足相关流动性风险管理要求的前提下，当产品持有的现金、国债、中央银行票据、政策性金融债券以及5个交易日内到期的其他金融工具占产品资产净值的比例合计低于5%且偏离度为负时，产品管理人对当日单个产品投资者申请赎回份额超过本产品总份额1%以上的赎回申请征收1%的强制赎回费用，上述赎回费用全额计入本产品财产。产品管理人与托管机构协商确认上述做法无益于产品利益最大化的情形除外。</w:t>
      </w:r>
    </w:p>
    <w:p>
      <w:pPr>
        <w:ind w:firstLine="349" w:firstLineChars="193"/>
        <w:rPr>
          <w:rFonts w:hint="eastAsia" w:ascii="宋体" w:hAnsi="宋体"/>
          <w:b/>
          <w:color w:val="000000"/>
          <w:sz w:val="18"/>
          <w:szCs w:val="18"/>
        </w:rPr>
      </w:pPr>
      <w:r>
        <w:rPr>
          <w:rFonts w:hint="eastAsia" w:ascii="宋体" w:hAnsi="宋体"/>
          <w:b/>
          <w:color w:val="000000"/>
          <w:sz w:val="18"/>
          <w:szCs w:val="18"/>
        </w:rPr>
        <w:t>（2）本产品前10名投资者的持有份额合计超过本产品总份额50%的，当投资组合中现金、国债、中央银行票据、政策性金融债券以及5个交易日内到期的其他金融工具占该产品资产净值的比例合计低于10%且偏离度为负时，产品管理人对投资者超过本产品总份额1%以上的赎回申请征收1%的强制赎回费用。</w:t>
      </w:r>
    </w:p>
    <w:p>
      <w:pPr>
        <w:ind w:firstLine="349" w:firstLineChars="193"/>
        <w:rPr>
          <w:rFonts w:hint="eastAsia" w:ascii="宋体" w:hAnsi="宋体"/>
          <w:b/>
          <w:color w:val="000000"/>
          <w:sz w:val="18"/>
          <w:szCs w:val="18"/>
        </w:rPr>
      </w:pPr>
      <w:r>
        <w:rPr>
          <w:rFonts w:hint="eastAsia" w:ascii="宋体" w:hAnsi="宋体"/>
          <w:b/>
          <w:color w:val="000000"/>
          <w:sz w:val="18"/>
          <w:szCs w:val="18"/>
        </w:rPr>
        <w:t>当出现以上场景之一时，强制赎回费用将从投资者赎回款中扣除。</w:t>
      </w:r>
    </w:p>
    <w:p>
      <w:pPr>
        <w:ind w:firstLine="349" w:firstLineChars="193"/>
        <w:rPr>
          <w:rFonts w:hint="eastAsia" w:ascii="宋体" w:hAnsi="宋体"/>
          <w:b/>
          <w:color w:val="000000"/>
          <w:sz w:val="18"/>
          <w:szCs w:val="18"/>
        </w:rPr>
      </w:pPr>
      <w:r>
        <w:rPr>
          <w:rFonts w:hint="eastAsia" w:ascii="宋体" w:hAnsi="宋体"/>
          <w:b/>
          <w:color w:val="000000"/>
          <w:sz w:val="18"/>
          <w:szCs w:val="18"/>
        </w:rPr>
        <w:t>6.与本产品相关的其他费用，包括但不限于银行划拨手续费、证券交易费用、期货交易费用、税费、审计费、为办理担保而产生的抵质押登记费等费用、律师费、诉讼费、仲裁费、保险费、担保费、保全费、评估费、评级费、公证费、执行费以及间接投资产生的相关费用等费用，由本产品承担，将在实际发生时按照实际发生额支付。若产品管理人先行垫付上述费用的，则本产品应支付给产品管理人，且产品管理人就该部分费用对本产品财产享有优先受偿的权利。</w:t>
      </w:r>
    </w:p>
    <w:p>
      <w:pPr>
        <w:ind w:firstLine="349" w:firstLineChars="193"/>
        <w:rPr>
          <w:rFonts w:hint="eastAsia" w:ascii="宋体" w:hAnsi="宋体"/>
          <w:b/>
          <w:sz w:val="18"/>
          <w:szCs w:val="18"/>
        </w:rPr>
      </w:pPr>
      <w:r>
        <w:rPr>
          <w:rFonts w:hint="eastAsia" w:ascii="宋体" w:hAnsi="宋体"/>
          <w:b/>
          <w:color w:val="000000"/>
          <w:sz w:val="18"/>
          <w:szCs w:val="18"/>
        </w:rPr>
        <w:t>7.本产品运作过程中的纳税义务按照相关法律法规、税收政策执行，从本产品资产总值中扣除。</w:t>
      </w:r>
      <w:r>
        <w:rPr>
          <w:rFonts w:hint="eastAsia" w:ascii="宋体" w:hAnsi="宋体"/>
          <w:b/>
          <w:sz w:val="18"/>
          <w:szCs w:val="18"/>
        </w:rPr>
        <w:t>本产品不收取认购费用、申购费用。</w:t>
      </w:r>
    </w:p>
    <w:p>
      <w:pPr>
        <w:ind w:firstLine="349" w:firstLineChars="193"/>
        <w:rPr>
          <w:rFonts w:hint="eastAsia" w:ascii="宋体" w:hAnsi="宋体"/>
          <w:b/>
          <w:color w:val="000000"/>
          <w:sz w:val="18"/>
          <w:szCs w:val="18"/>
        </w:rPr>
      </w:pPr>
      <w:r>
        <w:rPr>
          <w:rFonts w:hint="eastAsia" w:ascii="宋体" w:hAnsi="宋体"/>
          <w:b/>
          <w:sz w:val="18"/>
          <w:szCs w:val="18"/>
        </w:rPr>
        <w:t>8</w:t>
      </w:r>
      <w:r>
        <w:rPr>
          <w:rFonts w:ascii="宋体" w:hAnsi="宋体"/>
          <w:b/>
          <w:sz w:val="18"/>
          <w:szCs w:val="18"/>
        </w:rPr>
        <w:t>.</w:t>
      </w:r>
      <w:r>
        <w:rPr>
          <w:rFonts w:hint="eastAsia" w:ascii="宋体" w:hAnsi="宋体"/>
          <w:b/>
          <w:sz w:val="18"/>
          <w:szCs w:val="18"/>
        </w:rPr>
        <w:t>产品管理人有权根据市场情况等调整销售费、固定管理费、托管费、超额业绩报酬和其他费用的计提方式和比例，</w:t>
      </w:r>
      <w:r>
        <w:rPr>
          <w:rFonts w:hint="eastAsia" w:ascii="宋体" w:hAnsi="宋体"/>
          <w:b/>
          <w:sz w:val="18"/>
          <w:szCs w:val="18"/>
          <w:u w:val="single"/>
        </w:rPr>
        <w:t>至少提前</w:t>
      </w:r>
      <w:r>
        <w:rPr>
          <w:rFonts w:ascii="宋体" w:hAnsi="宋体"/>
          <w:b/>
          <w:sz w:val="18"/>
          <w:szCs w:val="18"/>
          <w:u w:val="single"/>
        </w:rPr>
        <w:t>2个工作日进行信息披露。</w:t>
      </w:r>
      <w:r>
        <w:rPr>
          <w:rFonts w:hint="eastAsia" w:ascii="宋体" w:hAnsi="宋体"/>
          <w:b/>
          <w:sz w:val="18"/>
          <w:szCs w:val="18"/>
        </w:rPr>
        <w:t>如投资者不接受的，可在信息披露生效前赎回本产品，</w:t>
      </w:r>
      <w:r>
        <w:rPr>
          <w:rFonts w:hint="eastAsia" w:ascii="宋体" w:hAnsi="宋体"/>
          <w:b/>
          <w:sz w:val="18"/>
          <w:szCs w:val="18"/>
          <w:u w:val="single"/>
        </w:rPr>
        <w:t>此种情况下产品管理人将可能开放特殊赎回期间，具体以产品管理人信息披露为准，</w:t>
      </w:r>
      <w:r>
        <w:rPr>
          <w:rFonts w:hint="eastAsia" w:ascii="宋体" w:hAnsi="宋体"/>
          <w:b/>
          <w:sz w:val="18"/>
          <w:szCs w:val="18"/>
        </w:rPr>
        <w:t>投资者未赎回的，视为投资者同意调整并继续持有本产品。</w:t>
      </w:r>
    </w:p>
    <w:p>
      <w:pPr>
        <w:ind w:firstLine="349" w:firstLineChars="193"/>
        <w:outlineLvl w:val="1"/>
        <w:rPr>
          <w:rFonts w:hint="eastAsia" w:ascii="宋体" w:hAnsi="宋体"/>
          <w:b/>
          <w:color w:val="000000"/>
          <w:sz w:val="18"/>
          <w:szCs w:val="18"/>
        </w:rPr>
      </w:pPr>
      <w:r>
        <w:rPr>
          <w:rFonts w:hint="eastAsia" w:ascii="宋体" w:hAnsi="宋体"/>
          <w:b/>
          <w:color w:val="000000"/>
          <w:sz w:val="18"/>
          <w:szCs w:val="18"/>
        </w:rPr>
        <w:t>（三）税收</w:t>
      </w:r>
    </w:p>
    <w:p>
      <w:pPr>
        <w:ind w:firstLine="361" w:firstLineChars="200"/>
        <w:rPr>
          <w:rFonts w:hint="eastAsia" w:ascii="宋体" w:hAnsi="宋体"/>
          <w:b/>
          <w:color w:val="000000"/>
          <w:sz w:val="18"/>
          <w:szCs w:val="18"/>
        </w:rPr>
      </w:pPr>
      <w:r>
        <w:rPr>
          <w:rFonts w:hint="eastAsia" w:ascii="宋体" w:hAnsi="宋体"/>
          <w:b/>
          <w:color w:val="000000"/>
          <w:sz w:val="18"/>
          <w:szCs w:val="18"/>
        </w:rPr>
        <w:t>本产品运作过程中涉及的各纳税主体，其纳税义务按国家税收法律、法规执行。</w:t>
      </w:r>
    </w:p>
    <w:p>
      <w:pPr>
        <w:ind w:firstLine="361" w:firstLineChars="200"/>
        <w:rPr>
          <w:rFonts w:hint="eastAsia" w:ascii="宋体" w:hAnsi="宋体"/>
          <w:b/>
          <w:color w:val="000000"/>
          <w:sz w:val="18"/>
          <w:szCs w:val="18"/>
        </w:rPr>
      </w:pPr>
      <w:r>
        <w:rPr>
          <w:rFonts w:hint="eastAsia" w:ascii="宋体" w:hAnsi="宋体"/>
          <w:b/>
          <w:color w:val="000000"/>
          <w:sz w:val="18"/>
          <w:szCs w:val="18"/>
        </w:rPr>
        <w:t>根据财政部、国家税务总局相关税收监管政策的规定，理财产品运营过程中发生的增值税应税行为，以理财产品管理人为增值税纳税人，计算、申报并缴纳增值税及附加税费（包括但不限于城市维护建设税、教育费附加及地方教育附加等）。建信理财有限责任公司作为理财产品管理人,将按照相关规定计算应缴纳的税费，并从理财产品财产中支付，由此可能会使理财产品净值或实际收益降低，请投资者知悉。</w:t>
      </w:r>
    </w:p>
    <w:p>
      <w:pPr>
        <w:ind w:firstLine="361" w:firstLineChars="200"/>
        <w:rPr>
          <w:rFonts w:hint="eastAsia" w:ascii="宋体" w:hAnsi="宋体"/>
          <w:b/>
          <w:color w:val="000000"/>
          <w:sz w:val="18"/>
          <w:szCs w:val="18"/>
        </w:rPr>
      </w:pPr>
      <w:r>
        <w:rPr>
          <w:rFonts w:hint="eastAsia" w:ascii="宋体" w:hAnsi="宋体"/>
          <w:b/>
          <w:color w:val="000000"/>
          <w:sz w:val="18"/>
          <w:szCs w:val="18"/>
        </w:rPr>
        <w:t>投资者从理财产品取得的收益应缴纳的税款，由投资者自行申报及缴纳。</w:t>
      </w:r>
    </w:p>
    <w:p>
      <w:pPr>
        <w:ind w:firstLine="361" w:firstLineChars="200"/>
        <w:rPr>
          <w:rFonts w:hint="eastAsia" w:ascii="宋体" w:hAnsi="宋体"/>
          <w:b/>
          <w:color w:val="000000"/>
          <w:sz w:val="18"/>
          <w:szCs w:val="18"/>
        </w:rPr>
      </w:pPr>
      <w:r>
        <w:rPr>
          <w:rFonts w:hint="eastAsia" w:ascii="宋体" w:hAnsi="宋体"/>
          <w:b/>
          <w:color w:val="000000"/>
          <w:sz w:val="18"/>
          <w:szCs w:val="18"/>
        </w:rPr>
        <w:t>后续国家法律法规如对相关税收政策进行调整，产品管理人有权根据税收政策相应调整理财产品运营过程中发生的税费的承担方式。若相关税收法规规定产品管理人应代扣代缴相关税款，产品管理人有权依法履行代扣代缴义务，投资者对此应给予配合。</w:t>
      </w:r>
    </w:p>
    <w:p>
      <w:pPr>
        <w:ind w:firstLine="361" w:firstLineChars="200"/>
        <w:rPr>
          <w:rFonts w:hint="eastAsia" w:ascii="宋体" w:hAnsi="宋体"/>
          <w:b/>
          <w:sz w:val="18"/>
          <w:szCs w:val="18"/>
        </w:rPr>
      </w:pPr>
    </w:p>
    <w:p>
      <w:pPr>
        <w:ind w:firstLine="482" w:firstLineChars="200"/>
        <w:outlineLvl w:val="0"/>
        <w:rPr>
          <w:rFonts w:hint="eastAsia" w:ascii="宋体" w:hAnsi="宋体"/>
          <w:b/>
          <w:bCs/>
          <w:color w:val="000000"/>
          <w:sz w:val="24"/>
          <w:szCs w:val="21"/>
        </w:rPr>
      </w:pPr>
      <w:r>
        <w:rPr>
          <w:rFonts w:hint="eastAsia" w:ascii="宋体" w:hAnsi="宋体"/>
          <w:b/>
          <w:bCs/>
          <w:color w:val="000000"/>
          <w:sz w:val="24"/>
          <w:szCs w:val="21"/>
        </w:rPr>
        <w:t>六、产品终止说明</w:t>
      </w:r>
    </w:p>
    <w:p>
      <w:pPr>
        <w:ind w:firstLine="402"/>
        <w:rPr>
          <w:rFonts w:hint="eastAsia" w:ascii="宋体" w:hAnsi="宋体"/>
          <w:b/>
          <w:sz w:val="18"/>
          <w:szCs w:val="18"/>
        </w:rPr>
      </w:pPr>
      <w:r>
        <w:rPr>
          <w:rFonts w:hint="eastAsia" w:ascii="宋体" w:hAnsi="宋体"/>
          <w:b/>
          <w:sz w:val="18"/>
          <w:szCs w:val="18"/>
        </w:rPr>
        <w:t>（一）提前终止</w:t>
      </w:r>
    </w:p>
    <w:p>
      <w:pPr>
        <w:ind w:firstLine="402"/>
        <w:rPr>
          <w:rFonts w:hint="eastAsia" w:ascii="宋体" w:hAnsi="宋体"/>
          <w:b/>
          <w:sz w:val="18"/>
          <w:szCs w:val="18"/>
        </w:rPr>
      </w:pPr>
      <w:r>
        <w:rPr>
          <w:rFonts w:hint="eastAsia" w:ascii="宋体" w:hAnsi="宋体"/>
          <w:b/>
          <w:sz w:val="18"/>
          <w:szCs w:val="18"/>
        </w:rPr>
        <w:t>产品管理人有权利但无义务提前终止本产品的情形包括但不限于：</w:t>
      </w:r>
    </w:p>
    <w:p>
      <w:pPr>
        <w:ind w:firstLine="400"/>
        <w:rPr>
          <w:rFonts w:hint="eastAsia" w:ascii="宋体" w:hAnsi="宋体"/>
          <w:sz w:val="18"/>
          <w:szCs w:val="18"/>
          <w:u w:val="single"/>
        </w:rPr>
      </w:pPr>
      <w:r>
        <w:rPr>
          <w:rFonts w:ascii="宋体" w:hAnsi="宋体"/>
          <w:sz w:val="18"/>
          <w:szCs w:val="18"/>
          <w:u w:val="single"/>
        </w:rPr>
        <w:t>1.法律法规或国家金融政策变化或监管要求影响本产品继续正常运作；</w:t>
      </w:r>
    </w:p>
    <w:p>
      <w:pPr>
        <w:ind w:firstLine="400"/>
        <w:rPr>
          <w:rFonts w:hint="eastAsia" w:ascii="宋体" w:hAnsi="宋体"/>
          <w:sz w:val="18"/>
          <w:szCs w:val="18"/>
          <w:u w:val="single"/>
        </w:rPr>
      </w:pPr>
      <w:r>
        <w:rPr>
          <w:rFonts w:ascii="宋体" w:hAnsi="宋体"/>
          <w:sz w:val="18"/>
          <w:szCs w:val="18"/>
          <w:u w:val="single"/>
        </w:rPr>
        <w:t>2.因市场出现剧烈波动、异常风险、利率大幅下滑事件等情形导致本产品收益出现大幅波动或严重影响本产品的资产安全；</w:t>
      </w:r>
    </w:p>
    <w:p>
      <w:pPr>
        <w:ind w:firstLine="400"/>
        <w:rPr>
          <w:rFonts w:hint="eastAsia" w:ascii="宋体" w:hAnsi="宋体"/>
          <w:sz w:val="18"/>
          <w:szCs w:val="18"/>
          <w:u w:val="single"/>
        </w:rPr>
      </w:pPr>
      <w:r>
        <w:rPr>
          <w:rFonts w:ascii="宋体" w:hAnsi="宋体"/>
          <w:sz w:val="18"/>
          <w:szCs w:val="18"/>
          <w:u w:val="single"/>
        </w:rPr>
        <w:t>3.本产品投向的金融资产出现涉及的融资方/义务人等相关主体信用恶化、发生信用风险事件，或提前/立即偿还相关融资本金利息，或者由于市场原因、政府机构等原因导致相关债权被宣布提前/立即到期等情形；</w:t>
      </w:r>
    </w:p>
    <w:p>
      <w:pPr>
        <w:ind w:firstLine="400"/>
        <w:rPr>
          <w:rFonts w:hint="eastAsia" w:ascii="宋体" w:hAnsi="宋体"/>
          <w:sz w:val="18"/>
          <w:szCs w:val="18"/>
          <w:u w:val="single"/>
        </w:rPr>
      </w:pPr>
      <w:r>
        <w:rPr>
          <w:rFonts w:ascii="宋体" w:hAnsi="宋体"/>
          <w:sz w:val="18"/>
          <w:szCs w:val="18"/>
          <w:u w:val="single"/>
        </w:rPr>
        <w:t>4.因本产品投向的资产管理计划/产品、信托计划等提前终止；</w:t>
      </w:r>
    </w:p>
    <w:p>
      <w:pPr>
        <w:ind w:firstLine="400"/>
        <w:rPr>
          <w:rFonts w:hint="eastAsia" w:ascii="宋体" w:hAnsi="宋体"/>
          <w:sz w:val="18"/>
          <w:szCs w:val="18"/>
          <w:u w:val="single"/>
        </w:rPr>
      </w:pPr>
      <w:r>
        <w:rPr>
          <w:rFonts w:ascii="宋体" w:hAnsi="宋体"/>
          <w:sz w:val="18"/>
          <w:szCs w:val="18"/>
          <w:u w:val="single"/>
        </w:rPr>
        <w:t xml:space="preserve">5.因理财资金被有权机关扣划等原因导致本产品剩余资产无法满足相关法律法规规定、所投资市场要求或协议等相关法律文件约定，或者导致本产品继续存续无法实现投资目标； </w:t>
      </w:r>
    </w:p>
    <w:p>
      <w:pPr>
        <w:ind w:firstLine="400"/>
        <w:rPr>
          <w:rFonts w:hint="eastAsia" w:ascii="宋体" w:hAnsi="宋体"/>
          <w:sz w:val="18"/>
          <w:szCs w:val="18"/>
          <w:u w:val="single"/>
        </w:rPr>
      </w:pPr>
      <w:r>
        <w:rPr>
          <w:rFonts w:ascii="宋体" w:hAnsi="宋体"/>
          <w:sz w:val="18"/>
          <w:szCs w:val="18"/>
          <w:u w:val="single"/>
        </w:rPr>
        <w:t>6.不可抗力或意外事件导致本产品无法继续运作；</w:t>
      </w:r>
    </w:p>
    <w:p>
      <w:pPr>
        <w:ind w:firstLine="400"/>
        <w:rPr>
          <w:rFonts w:hint="eastAsia" w:ascii="宋体" w:hAnsi="宋体"/>
          <w:sz w:val="18"/>
          <w:szCs w:val="18"/>
          <w:u w:val="single"/>
        </w:rPr>
      </w:pPr>
      <w:r>
        <w:rPr>
          <w:rFonts w:ascii="宋体" w:hAnsi="宋体"/>
          <w:sz w:val="18"/>
          <w:szCs w:val="18"/>
          <w:u w:val="single"/>
        </w:rPr>
        <w:t>7.投资者一致决定提前终止，并获得产品管理人同意的；</w:t>
      </w:r>
    </w:p>
    <w:p>
      <w:pPr>
        <w:ind w:firstLine="400"/>
        <w:rPr>
          <w:rFonts w:hint="eastAsia" w:ascii="宋体" w:hAnsi="宋体"/>
          <w:sz w:val="18"/>
          <w:szCs w:val="18"/>
          <w:u w:val="single"/>
        </w:rPr>
      </w:pPr>
      <w:r>
        <w:rPr>
          <w:rFonts w:ascii="宋体" w:hAnsi="宋体"/>
          <w:sz w:val="18"/>
          <w:szCs w:val="18"/>
          <w:u w:val="single"/>
        </w:rPr>
        <w:t>8.存续</w:t>
      </w:r>
      <w:r>
        <w:rPr>
          <w:rFonts w:hint="eastAsia" w:ascii="宋体" w:hAnsi="宋体"/>
          <w:sz w:val="18"/>
          <w:szCs w:val="18"/>
          <w:u w:val="single"/>
        </w:rPr>
        <w:t>期产品</w:t>
      </w:r>
      <w:r>
        <w:rPr>
          <w:rFonts w:ascii="宋体" w:hAnsi="宋体"/>
          <w:sz w:val="18"/>
          <w:szCs w:val="18"/>
          <w:u w:val="single"/>
        </w:rPr>
        <w:t>份额低于产品规模下限</w:t>
      </w:r>
      <w:r>
        <w:rPr>
          <w:rFonts w:hint="eastAsia" w:ascii="宋体" w:hAnsi="宋体"/>
          <w:sz w:val="18"/>
          <w:szCs w:val="18"/>
          <w:u w:val="single"/>
        </w:rPr>
        <w:t>；</w:t>
      </w:r>
    </w:p>
    <w:p>
      <w:pPr>
        <w:ind w:firstLine="400"/>
        <w:rPr>
          <w:rFonts w:hint="eastAsia" w:ascii="宋体" w:hAnsi="宋体"/>
          <w:sz w:val="18"/>
          <w:szCs w:val="18"/>
          <w:u w:val="single"/>
        </w:rPr>
      </w:pPr>
      <w:r>
        <w:rPr>
          <w:rFonts w:ascii="宋体" w:hAnsi="宋体"/>
          <w:sz w:val="18"/>
          <w:szCs w:val="18"/>
          <w:u w:val="single"/>
        </w:rPr>
        <w:t>9.</w:t>
      </w:r>
      <w:r>
        <w:rPr>
          <w:rFonts w:hint="eastAsia" w:ascii="宋体" w:hAnsi="宋体"/>
          <w:sz w:val="18"/>
          <w:szCs w:val="18"/>
          <w:u w:val="single"/>
        </w:rPr>
        <w:t>为维护投资者利益，产品管理人认为需要提前终止的；</w:t>
      </w:r>
    </w:p>
    <w:p>
      <w:pPr>
        <w:ind w:firstLine="400"/>
        <w:rPr>
          <w:rFonts w:hint="eastAsia" w:ascii="宋体" w:hAnsi="宋体"/>
          <w:sz w:val="18"/>
          <w:szCs w:val="18"/>
          <w:u w:val="single"/>
        </w:rPr>
      </w:pPr>
      <w:r>
        <w:rPr>
          <w:rFonts w:ascii="宋体" w:hAnsi="宋体"/>
          <w:sz w:val="18"/>
          <w:szCs w:val="18"/>
          <w:u w:val="single"/>
        </w:rPr>
        <w:t>10.</w:t>
      </w:r>
      <w:r>
        <w:rPr>
          <w:rFonts w:hint="eastAsia" w:ascii="宋体" w:hAnsi="宋体"/>
          <w:sz w:val="18"/>
          <w:szCs w:val="18"/>
          <w:u w:val="single"/>
        </w:rPr>
        <w:t>市场发生重大变动或突发性事件，产品管理人认为需要提前终止的；</w:t>
      </w:r>
    </w:p>
    <w:p>
      <w:pPr>
        <w:ind w:firstLine="400"/>
        <w:rPr>
          <w:rFonts w:hint="eastAsia" w:ascii="宋体" w:hAnsi="宋体"/>
          <w:sz w:val="18"/>
          <w:szCs w:val="18"/>
          <w:u w:val="single"/>
        </w:rPr>
      </w:pPr>
      <w:r>
        <w:rPr>
          <w:rFonts w:hint="eastAsia" w:ascii="宋体" w:hAnsi="宋体"/>
          <w:sz w:val="18"/>
          <w:szCs w:val="18"/>
          <w:u w:val="single"/>
        </w:rPr>
        <w:t>1</w:t>
      </w:r>
      <w:r>
        <w:rPr>
          <w:rFonts w:ascii="宋体" w:hAnsi="宋体"/>
          <w:sz w:val="18"/>
          <w:szCs w:val="18"/>
          <w:u w:val="single"/>
        </w:rPr>
        <w:t>1</w:t>
      </w:r>
      <w:r>
        <w:rPr>
          <w:rFonts w:hint="eastAsia" w:ascii="宋体" w:hAnsi="宋体"/>
          <w:sz w:val="18"/>
          <w:szCs w:val="18"/>
          <w:u w:val="single"/>
        </w:rPr>
        <w:t>.产品管理人有合理理由认为将影响本产品运作的其他情形。</w:t>
      </w:r>
    </w:p>
    <w:p>
      <w:pPr>
        <w:tabs>
          <w:tab w:val="left" w:pos="720"/>
        </w:tabs>
        <w:spacing w:after="93" w:afterLines="30"/>
        <w:ind w:firstLine="361" w:firstLineChars="200"/>
        <w:rPr>
          <w:rFonts w:hint="eastAsia" w:ascii="宋体" w:hAnsi="宋体"/>
          <w:sz w:val="16"/>
          <w:szCs w:val="18"/>
        </w:rPr>
      </w:pPr>
      <w:r>
        <w:rPr>
          <w:rFonts w:hint="eastAsia" w:ascii="宋体" w:hAnsi="宋体"/>
          <w:b/>
          <w:sz w:val="18"/>
        </w:rPr>
        <w:t>若产品管理人决定提前终止本产品，产品管理人最晚于提前终止日对提前终止进行信息披露。</w:t>
      </w:r>
    </w:p>
    <w:p>
      <w:pPr>
        <w:tabs>
          <w:tab w:val="left" w:pos="720"/>
        </w:tabs>
        <w:spacing w:after="93" w:afterLines="30"/>
        <w:ind w:firstLine="402"/>
        <w:rPr>
          <w:rFonts w:hint="eastAsia" w:ascii="宋体" w:hAnsi="宋体"/>
          <w:b/>
          <w:sz w:val="18"/>
          <w:szCs w:val="18"/>
        </w:rPr>
      </w:pPr>
      <w:r>
        <w:rPr>
          <w:rFonts w:hint="eastAsia" w:ascii="宋体" w:hAnsi="宋体"/>
          <w:b/>
          <w:sz w:val="18"/>
          <w:szCs w:val="18"/>
        </w:rPr>
        <w:t>（二）提前终止兑付</w:t>
      </w:r>
      <w:r>
        <w:rPr>
          <w:rFonts w:ascii="宋体" w:hAnsi="宋体"/>
          <w:b/>
          <w:sz w:val="18"/>
          <w:szCs w:val="18"/>
        </w:rPr>
        <w:t>/延迟兑付</w:t>
      </w:r>
    </w:p>
    <w:p>
      <w:pPr>
        <w:tabs>
          <w:tab w:val="left" w:pos="720"/>
        </w:tabs>
        <w:spacing w:after="93" w:afterLines="30"/>
        <w:ind w:firstLine="400"/>
        <w:rPr>
          <w:rFonts w:hint="eastAsia" w:ascii="宋体" w:hAnsi="宋体"/>
          <w:sz w:val="18"/>
          <w:szCs w:val="18"/>
          <w:u w:val="single"/>
        </w:rPr>
      </w:pPr>
      <w:r>
        <w:rPr>
          <w:rFonts w:hint="eastAsia" w:ascii="宋体" w:hAnsi="宋体"/>
          <w:sz w:val="18"/>
          <w:szCs w:val="18"/>
        </w:rPr>
        <w:t>在理财产品提前终止日，</w:t>
      </w:r>
      <w:r>
        <w:rPr>
          <w:rFonts w:hint="eastAsia" w:ascii="宋体" w:hAnsi="宋体"/>
          <w:b/>
          <w:sz w:val="18"/>
          <w:szCs w:val="18"/>
        </w:rPr>
        <w:t>对于理财产品所投资资产全部变现的部分，产品管理人在产品提前终止日后5个工作日内</w:t>
      </w:r>
      <w:r>
        <w:rPr>
          <w:rFonts w:hint="eastAsia" w:ascii="宋体" w:hAnsi="宋体"/>
          <w:sz w:val="18"/>
          <w:szCs w:val="18"/>
        </w:rPr>
        <w:t>，将扣除相关费用后的剩余投资者理财资金支付至投资者约定交易账户。</w:t>
      </w:r>
      <w:r>
        <w:rPr>
          <w:rFonts w:hint="eastAsia" w:ascii="宋体" w:hAnsi="宋体"/>
          <w:b/>
          <w:sz w:val="18"/>
          <w:szCs w:val="18"/>
        </w:rPr>
        <w:t>若理财产品所投资资产不能全部变现，产品管理人在提前终止日后2个工作日内对资产不能变现的情况进行信息披露，对于可变现的部分，产品管理人在产品提前终止日后5个工作日内</w:t>
      </w:r>
      <w:r>
        <w:rPr>
          <w:rFonts w:hint="eastAsia" w:ascii="宋体" w:hAnsi="宋体"/>
          <w:sz w:val="18"/>
          <w:szCs w:val="18"/>
          <w:u w:val="single"/>
        </w:rPr>
        <w:t>，将扣除相关费用后的剩余投资者理财资金支付至投资者约定交易账户；</w:t>
      </w:r>
      <w:r>
        <w:rPr>
          <w:rFonts w:hint="eastAsia" w:ascii="宋体" w:hAnsi="宋体"/>
          <w:b/>
          <w:sz w:val="18"/>
          <w:szCs w:val="18"/>
        </w:rPr>
        <w:t>对于未能变现的部分，产品管理人在资产变现后5个工作日内，</w:t>
      </w:r>
      <w:r>
        <w:rPr>
          <w:rFonts w:hint="eastAsia" w:ascii="宋体" w:hAnsi="宋体"/>
          <w:sz w:val="18"/>
          <w:szCs w:val="18"/>
          <w:u w:val="single"/>
        </w:rPr>
        <w:t>将扣除相关费用后的剩余投资者理财资金支付至投资者约定交易账户。</w:t>
      </w:r>
    </w:p>
    <w:p>
      <w:pPr>
        <w:tabs>
          <w:tab w:val="left" w:pos="720"/>
        </w:tabs>
        <w:spacing w:after="93" w:afterLines="30"/>
        <w:ind w:firstLine="400"/>
        <w:rPr>
          <w:rFonts w:hint="eastAsia" w:ascii="宋体" w:hAnsi="宋体"/>
          <w:b/>
          <w:bCs/>
          <w:sz w:val="18"/>
          <w:szCs w:val="18"/>
        </w:rPr>
      </w:pPr>
      <w:r>
        <w:rPr>
          <w:rFonts w:hint="eastAsia" w:ascii="宋体" w:hAnsi="宋体"/>
          <w:b/>
          <w:bCs/>
          <w:sz w:val="18"/>
          <w:szCs w:val="18"/>
        </w:rPr>
        <w:t>提前终止日至资金实际到账日之间产生的利息（如有）归投资者所有。如产品兑付后发生归属于投资者的资金回款等情形，产品管理人将按照产品提前终止时投资者持仓份额比例兑付至投资者约定交易账户。</w:t>
      </w:r>
    </w:p>
    <w:p>
      <w:pPr>
        <w:tabs>
          <w:tab w:val="left" w:pos="720"/>
        </w:tabs>
        <w:spacing w:after="93" w:afterLines="30"/>
        <w:ind w:firstLine="400"/>
        <w:rPr>
          <w:rFonts w:hint="eastAsia" w:ascii="宋体" w:hAnsi="宋体"/>
          <w:sz w:val="18"/>
          <w:szCs w:val="18"/>
          <w:u w:val="single"/>
        </w:rPr>
      </w:pPr>
    </w:p>
    <w:p>
      <w:pPr>
        <w:ind w:firstLine="482" w:firstLineChars="200"/>
        <w:outlineLvl w:val="0"/>
        <w:rPr>
          <w:rFonts w:hint="eastAsia" w:ascii="宋体" w:hAnsi="宋体"/>
          <w:b/>
          <w:bCs/>
          <w:color w:val="000000"/>
          <w:sz w:val="24"/>
          <w:szCs w:val="21"/>
        </w:rPr>
      </w:pPr>
      <w:r>
        <w:rPr>
          <w:rFonts w:hint="eastAsia" w:ascii="宋体" w:hAnsi="宋体"/>
          <w:b/>
          <w:bCs/>
          <w:color w:val="000000"/>
          <w:sz w:val="24"/>
          <w:szCs w:val="21"/>
        </w:rPr>
        <w:t>七、投资者收益示例</w:t>
      </w:r>
    </w:p>
    <w:p>
      <w:pPr>
        <w:ind w:firstLine="360" w:firstLineChars="200"/>
        <w:rPr>
          <w:rFonts w:hint="eastAsia" w:ascii="宋体" w:hAnsi="宋体"/>
          <w:color w:val="000000"/>
          <w:sz w:val="18"/>
          <w:szCs w:val="18"/>
        </w:rPr>
      </w:pPr>
      <w:r>
        <w:rPr>
          <w:rFonts w:ascii="宋体" w:hAnsi="宋体"/>
          <w:color w:val="000000"/>
          <w:sz w:val="18"/>
          <w:szCs w:val="18"/>
        </w:rPr>
        <w:t>1.</w:t>
      </w:r>
      <w:r>
        <w:rPr>
          <w:rFonts w:hint="eastAsia" w:ascii="宋体" w:hAnsi="宋体"/>
          <w:b/>
          <w:bCs/>
          <w:color w:val="000000"/>
          <w:sz w:val="18"/>
          <w:szCs w:val="18"/>
        </w:rPr>
        <w:t>测算收益不等于实际收益，投资须谨慎。</w:t>
      </w:r>
    </w:p>
    <w:p>
      <w:pPr>
        <w:ind w:firstLine="360" w:firstLineChars="200"/>
        <w:rPr>
          <w:rFonts w:hint="eastAsia" w:ascii="宋体" w:hAnsi="宋体"/>
          <w:color w:val="000000"/>
          <w:sz w:val="18"/>
          <w:szCs w:val="18"/>
        </w:rPr>
      </w:pPr>
      <w:r>
        <w:rPr>
          <w:rFonts w:ascii="宋体" w:hAnsi="宋体"/>
          <w:color w:val="000000"/>
          <w:sz w:val="18"/>
          <w:szCs w:val="18"/>
        </w:rPr>
        <w:t>2.</w:t>
      </w:r>
      <w:r>
        <w:rPr>
          <w:rFonts w:hint="eastAsia" w:ascii="宋体" w:hAnsi="宋体"/>
          <w:color w:val="000000"/>
          <w:sz w:val="18"/>
          <w:szCs w:val="18"/>
        </w:rPr>
        <w:t>投资者收益计算示例：</w:t>
      </w:r>
    </w:p>
    <w:p>
      <w:pPr>
        <w:ind w:firstLine="360" w:firstLineChars="200"/>
        <w:rPr>
          <w:rFonts w:hint="eastAsia" w:ascii="宋体" w:hAnsi="宋体"/>
          <w:color w:val="000000"/>
          <w:sz w:val="18"/>
          <w:szCs w:val="18"/>
        </w:rPr>
      </w:pPr>
      <w:r>
        <w:rPr>
          <w:rFonts w:hint="eastAsia" w:ascii="宋体" w:hAnsi="宋体"/>
          <w:color w:val="000000"/>
          <w:sz w:val="18"/>
          <w:szCs w:val="18"/>
        </w:rPr>
        <w:t>情景</w:t>
      </w:r>
      <w:r>
        <w:rPr>
          <w:rFonts w:ascii="宋体" w:hAnsi="宋体"/>
          <w:color w:val="000000"/>
          <w:sz w:val="18"/>
          <w:szCs w:val="18"/>
        </w:rPr>
        <w:t>1：假设投资者于T</w:t>
      </w:r>
      <w:r>
        <w:rPr>
          <w:rFonts w:hint="eastAsia" w:ascii="宋体" w:hAnsi="宋体"/>
          <w:color w:val="000000"/>
          <w:sz w:val="18"/>
          <w:szCs w:val="18"/>
        </w:rPr>
        <w:t>日（开放日）</w:t>
      </w:r>
      <w:r>
        <w:rPr>
          <w:rFonts w:ascii="宋体" w:hAnsi="宋体"/>
          <w:color w:val="000000"/>
          <w:sz w:val="18"/>
          <w:szCs w:val="18"/>
        </w:rPr>
        <w:t>申请申购本产品，投资本金为100,000.00元,则投资者T+1</w:t>
      </w:r>
      <w:r>
        <w:rPr>
          <w:rFonts w:hint="eastAsia" w:ascii="宋体" w:hAnsi="宋体"/>
          <w:color w:val="000000"/>
          <w:sz w:val="18"/>
          <w:szCs w:val="18"/>
        </w:rPr>
        <w:t>日确认份额为：</w:t>
      </w:r>
    </w:p>
    <w:p>
      <w:pPr>
        <w:ind w:firstLine="360" w:firstLineChars="200"/>
        <w:rPr>
          <w:rFonts w:hint="eastAsia" w:ascii="宋体" w:hAnsi="宋体"/>
          <w:color w:val="000000"/>
          <w:sz w:val="18"/>
          <w:szCs w:val="18"/>
        </w:rPr>
      </w:pPr>
      <w:r>
        <w:rPr>
          <w:rFonts w:hint="eastAsia" w:ascii="宋体" w:hAnsi="宋体"/>
          <w:color w:val="000000"/>
          <w:sz w:val="18"/>
          <w:szCs w:val="18"/>
        </w:rPr>
        <w:t>投资者持有份额</w:t>
      </w:r>
      <w:r>
        <w:rPr>
          <w:rFonts w:ascii="宋体" w:hAnsi="宋体"/>
          <w:color w:val="000000"/>
          <w:sz w:val="18"/>
          <w:szCs w:val="18"/>
        </w:rPr>
        <w:t>=100,000.00÷1=100,000.00（份）</w:t>
      </w:r>
    </w:p>
    <w:p>
      <w:pPr>
        <w:spacing w:before="93" w:beforeLines="30"/>
        <w:ind w:firstLine="360" w:firstLineChars="200"/>
        <w:rPr>
          <w:rFonts w:hint="eastAsia" w:ascii="宋体" w:hAnsi="宋体"/>
          <w:color w:val="000000"/>
          <w:sz w:val="18"/>
          <w:szCs w:val="18"/>
        </w:rPr>
      </w:pPr>
      <w:r>
        <w:rPr>
          <w:rFonts w:hint="eastAsia" w:ascii="宋体" w:hAnsi="宋体"/>
          <w:color w:val="000000"/>
          <w:sz w:val="18"/>
          <w:szCs w:val="18"/>
        </w:rPr>
        <w:t>情景</w:t>
      </w:r>
      <w:r>
        <w:rPr>
          <w:rFonts w:ascii="宋体" w:hAnsi="宋体"/>
          <w:color w:val="000000"/>
          <w:sz w:val="18"/>
          <w:szCs w:val="18"/>
        </w:rPr>
        <w:t>2：假设投资者</w:t>
      </w:r>
      <w:r>
        <w:rPr>
          <w:rFonts w:hint="eastAsia" w:ascii="宋体" w:hAnsi="宋体"/>
          <w:color w:val="000000"/>
          <w:sz w:val="18"/>
          <w:szCs w:val="18"/>
        </w:rPr>
        <w:t>在存续期</w:t>
      </w:r>
      <w:r>
        <w:rPr>
          <w:rFonts w:ascii="宋体" w:hAnsi="宋体"/>
          <w:color w:val="000000"/>
          <w:sz w:val="18"/>
          <w:szCs w:val="18"/>
        </w:rPr>
        <w:t>购买本产品,投资本金为100,000.00元，</w:t>
      </w:r>
      <w:r>
        <w:rPr>
          <w:rFonts w:hint="eastAsia" w:ascii="宋体" w:hAnsi="宋体"/>
          <w:color w:val="000000"/>
          <w:sz w:val="18"/>
          <w:szCs w:val="18"/>
        </w:rPr>
        <w:t>确认</w:t>
      </w:r>
      <w:r>
        <w:rPr>
          <w:rFonts w:ascii="宋体" w:hAnsi="宋体"/>
          <w:color w:val="000000"/>
          <w:sz w:val="18"/>
          <w:szCs w:val="18"/>
        </w:rPr>
        <w:t>投资者份额为100,000.00份,假设投资者于T日（开放日）申请</w:t>
      </w:r>
      <w:r>
        <w:rPr>
          <w:rFonts w:hint="eastAsia" w:ascii="宋体" w:hAnsi="宋体"/>
          <w:color w:val="000000"/>
          <w:sz w:val="18"/>
          <w:szCs w:val="18"/>
        </w:rPr>
        <w:t>全额</w:t>
      </w:r>
      <w:r>
        <w:rPr>
          <w:rFonts w:ascii="宋体" w:hAnsi="宋体"/>
          <w:color w:val="000000"/>
          <w:sz w:val="18"/>
          <w:szCs w:val="18"/>
        </w:rPr>
        <w:t>赎回本产品，</w:t>
      </w:r>
      <w:r>
        <w:rPr>
          <w:rFonts w:hint="eastAsia" w:ascii="宋体" w:hAnsi="宋体"/>
          <w:color w:val="000000"/>
          <w:sz w:val="18"/>
          <w:szCs w:val="18"/>
        </w:rPr>
        <w:t>投资者提出赎回申请时理财账户持仓总份额为1</w:t>
      </w:r>
      <w:r>
        <w:rPr>
          <w:rFonts w:ascii="宋体" w:hAnsi="宋体"/>
          <w:color w:val="000000"/>
          <w:sz w:val="18"/>
          <w:szCs w:val="18"/>
        </w:rPr>
        <w:t>00,200.00</w:t>
      </w:r>
      <w:r>
        <w:rPr>
          <w:rFonts w:hint="eastAsia" w:ascii="宋体" w:hAnsi="宋体"/>
          <w:color w:val="000000"/>
          <w:sz w:val="18"/>
          <w:szCs w:val="18"/>
        </w:rPr>
        <w:t>份，赎回份额对应的未付收益为</w:t>
      </w:r>
      <w:r>
        <w:rPr>
          <w:rFonts w:ascii="宋体" w:hAnsi="宋体"/>
          <w:color w:val="000000"/>
          <w:sz w:val="18"/>
          <w:szCs w:val="18"/>
        </w:rPr>
        <w:t>10</w:t>
      </w:r>
      <w:r>
        <w:rPr>
          <w:rFonts w:hint="eastAsia" w:ascii="宋体" w:hAnsi="宋体"/>
          <w:color w:val="000000"/>
          <w:sz w:val="18"/>
          <w:szCs w:val="18"/>
        </w:rPr>
        <w:t>元，且不收取强制赎回费，</w:t>
      </w:r>
      <w:r>
        <w:rPr>
          <w:rFonts w:ascii="宋体" w:hAnsi="宋体"/>
          <w:color w:val="000000"/>
          <w:sz w:val="18"/>
          <w:szCs w:val="18"/>
        </w:rPr>
        <w:t>则</w:t>
      </w:r>
      <w:r>
        <w:rPr>
          <w:rFonts w:hint="eastAsia" w:ascii="宋体" w:hAnsi="宋体"/>
          <w:color w:val="000000"/>
          <w:sz w:val="18"/>
          <w:szCs w:val="18"/>
        </w:rPr>
        <w:t>T</w:t>
      </w:r>
      <w:r>
        <w:rPr>
          <w:rFonts w:ascii="宋体" w:hAnsi="宋体"/>
          <w:color w:val="000000"/>
          <w:sz w:val="18"/>
          <w:szCs w:val="18"/>
        </w:rPr>
        <w:t>+1</w:t>
      </w:r>
      <w:r>
        <w:rPr>
          <w:rFonts w:hint="eastAsia" w:ascii="宋体" w:hAnsi="宋体"/>
          <w:color w:val="000000"/>
          <w:sz w:val="18"/>
          <w:szCs w:val="18"/>
        </w:rPr>
        <w:t>日</w:t>
      </w:r>
      <w:r>
        <w:rPr>
          <w:rFonts w:ascii="宋体" w:hAnsi="宋体"/>
          <w:color w:val="000000"/>
          <w:sz w:val="18"/>
          <w:szCs w:val="18"/>
        </w:rPr>
        <w:t>兑付投资者的</w:t>
      </w:r>
      <w:r>
        <w:rPr>
          <w:rFonts w:hint="eastAsia" w:ascii="宋体" w:hAnsi="宋体"/>
          <w:color w:val="000000"/>
          <w:sz w:val="18"/>
          <w:szCs w:val="18"/>
        </w:rPr>
        <w:t>到账</w:t>
      </w:r>
      <w:r>
        <w:rPr>
          <w:rFonts w:ascii="宋体" w:hAnsi="宋体"/>
          <w:color w:val="000000"/>
          <w:sz w:val="18"/>
          <w:szCs w:val="18"/>
        </w:rPr>
        <w:t>本金和收益为：</w:t>
      </w:r>
    </w:p>
    <w:p>
      <w:pPr>
        <w:ind w:firstLine="360" w:firstLineChars="200"/>
        <w:rPr>
          <w:rFonts w:hint="eastAsia" w:ascii="宋体" w:hAnsi="宋体"/>
          <w:color w:val="000000"/>
          <w:sz w:val="18"/>
          <w:szCs w:val="18"/>
        </w:rPr>
      </w:pPr>
      <w:r>
        <w:rPr>
          <w:rFonts w:ascii="宋体" w:hAnsi="宋体"/>
          <w:color w:val="000000"/>
          <w:sz w:val="18"/>
          <w:szCs w:val="18"/>
        </w:rPr>
        <w:t>100,200.00×1+10=100,210.00（元）</w:t>
      </w:r>
    </w:p>
    <w:p>
      <w:pPr>
        <w:spacing w:before="93" w:beforeLines="30"/>
        <w:ind w:firstLine="360" w:firstLineChars="200"/>
        <w:rPr>
          <w:rFonts w:hint="eastAsia" w:ascii="宋体" w:hAnsi="宋体"/>
          <w:color w:val="000000"/>
          <w:sz w:val="18"/>
          <w:szCs w:val="18"/>
        </w:rPr>
      </w:pPr>
      <w:r>
        <w:rPr>
          <w:rFonts w:hint="eastAsia" w:ascii="宋体" w:hAnsi="宋体"/>
          <w:color w:val="000000"/>
          <w:sz w:val="18"/>
          <w:szCs w:val="18"/>
        </w:rPr>
        <w:t>情景</w:t>
      </w:r>
      <w:r>
        <w:rPr>
          <w:rFonts w:ascii="宋体" w:hAnsi="宋体"/>
          <w:color w:val="000000"/>
          <w:sz w:val="18"/>
          <w:szCs w:val="18"/>
        </w:rPr>
        <w:t>3：假设投资者在</w:t>
      </w:r>
      <w:r>
        <w:rPr>
          <w:rFonts w:hint="eastAsia" w:ascii="宋体" w:hAnsi="宋体"/>
          <w:color w:val="000000"/>
          <w:sz w:val="18"/>
          <w:szCs w:val="18"/>
        </w:rPr>
        <w:t>存续期</w:t>
      </w:r>
      <w:r>
        <w:rPr>
          <w:rFonts w:ascii="宋体" w:hAnsi="宋体"/>
          <w:color w:val="000000"/>
          <w:sz w:val="18"/>
          <w:szCs w:val="18"/>
        </w:rPr>
        <w:t>购买本产品,投资本金为100,000.00元，</w:t>
      </w:r>
      <w:r>
        <w:rPr>
          <w:rFonts w:hint="eastAsia" w:ascii="宋体" w:hAnsi="宋体"/>
          <w:color w:val="000000"/>
          <w:sz w:val="18"/>
          <w:szCs w:val="18"/>
        </w:rPr>
        <w:t>确认</w:t>
      </w:r>
      <w:r>
        <w:rPr>
          <w:rFonts w:ascii="宋体" w:hAnsi="宋体"/>
          <w:color w:val="000000"/>
          <w:sz w:val="18"/>
          <w:szCs w:val="18"/>
        </w:rPr>
        <w:t>投资者份额为100,000.00份,假设投资者于T日（开放日）申请</w:t>
      </w:r>
      <w:r>
        <w:rPr>
          <w:rFonts w:hint="eastAsia" w:ascii="宋体" w:hAnsi="宋体"/>
          <w:color w:val="000000"/>
          <w:sz w:val="18"/>
          <w:szCs w:val="18"/>
        </w:rPr>
        <w:t>部分</w:t>
      </w:r>
      <w:r>
        <w:rPr>
          <w:rFonts w:ascii="宋体" w:hAnsi="宋体"/>
          <w:color w:val="000000"/>
          <w:sz w:val="18"/>
          <w:szCs w:val="18"/>
        </w:rPr>
        <w:t>赎回本产品</w:t>
      </w:r>
      <w:r>
        <w:rPr>
          <w:rFonts w:hint="eastAsia" w:ascii="宋体" w:hAnsi="宋体"/>
          <w:color w:val="000000"/>
          <w:sz w:val="18"/>
          <w:szCs w:val="18"/>
        </w:rPr>
        <w:t>1</w:t>
      </w:r>
      <w:r>
        <w:rPr>
          <w:rFonts w:ascii="宋体" w:hAnsi="宋体"/>
          <w:color w:val="000000"/>
          <w:sz w:val="18"/>
          <w:szCs w:val="18"/>
        </w:rPr>
        <w:t>0,000</w:t>
      </w:r>
      <w:r>
        <w:rPr>
          <w:rFonts w:hint="eastAsia" w:ascii="宋体" w:hAnsi="宋体"/>
          <w:color w:val="000000"/>
          <w:sz w:val="18"/>
          <w:szCs w:val="18"/>
        </w:rPr>
        <w:t>份</w:t>
      </w:r>
      <w:r>
        <w:rPr>
          <w:rFonts w:ascii="宋体" w:hAnsi="宋体"/>
          <w:color w:val="000000"/>
          <w:sz w:val="18"/>
          <w:szCs w:val="18"/>
        </w:rPr>
        <w:t>，</w:t>
      </w:r>
      <w:r>
        <w:rPr>
          <w:rFonts w:hint="eastAsia" w:ascii="宋体" w:hAnsi="宋体"/>
          <w:color w:val="000000"/>
          <w:sz w:val="18"/>
          <w:szCs w:val="18"/>
        </w:rPr>
        <w:t>投资者提出赎回申请时理财账户持仓总份额为1</w:t>
      </w:r>
      <w:r>
        <w:rPr>
          <w:rFonts w:ascii="宋体" w:hAnsi="宋体"/>
          <w:color w:val="000000"/>
          <w:sz w:val="18"/>
          <w:szCs w:val="18"/>
        </w:rPr>
        <w:t>00,200</w:t>
      </w:r>
      <w:r>
        <w:rPr>
          <w:rFonts w:hint="eastAsia" w:ascii="宋体" w:hAnsi="宋体"/>
          <w:color w:val="000000"/>
          <w:sz w:val="18"/>
          <w:szCs w:val="18"/>
        </w:rPr>
        <w:t>份，持仓份额的未付收益为</w:t>
      </w:r>
      <w:r>
        <w:rPr>
          <w:rFonts w:ascii="宋体" w:hAnsi="宋体"/>
          <w:color w:val="000000"/>
          <w:sz w:val="18"/>
          <w:szCs w:val="18"/>
        </w:rPr>
        <w:t>10</w:t>
      </w:r>
      <w:r>
        <w:rPr>
          <w:rFonts w:hint="eastAsia" w:ascii="宋体" w:hAnsi="宋体"/>
          <w:color w:val="000000"/>
          <w:sz w:val="18"/>
          <w:szCs w:val="18"/>
        </w:rPr>
        <w:t>元，部分赎回份额对应的未付收益为</w:t>
      </w:r>
      <w:r>
        <w:rPr>
          <w:rFonts w:ascii="宋体" w:hAnsi="宋体"/>
          <w:color w:val="000000"/>
          <w:sz w:val="18"/>
          <w:szCs w:val="18"/>
        </w:rPr>
        <w:t>1</w:t>
      </w:r>
      <w:r>
        <w:rPr>
          <w:rFonts w:hint="eastAsia" w:ascii="宋体" w:hAnsi="宋体"/>
          <w:color w:val="000000"/>
          <w:sz w:val="18"/>
          <w:szCs w:val="18"/>
        </w:rPr>
        <w:t>元，且不收取强制赎回费，</w:t>
      </w:r>
      <w:r>
        <w:rPr>
          <w:rFonts w:ascii="宋体" w:hAnsi="宋体"/>
          <w:color w:val="000000"/>
          <w:sz w:val="18"/>
          <w:szCs w:val="18"/>
        </w:rPr>
        <w:t>则</w:t>
      </w:r>
      <w:r>
        <w:rPr>
          <w:rFonts w:hint="eastAsia" w:ascii="宋体" w:hAnsi="宋体"/>
          <w:color w:val="000000"/>
          <w:sz w:val="18"/>
          <w:szCs w:val="18"/>
        </w:rPr>
        <w:t>T</w:t>
      </w:r>
      <w:r>
        <w:rPr>
          <w:rFonts w:ascii="宋体" w:hAnsi="宋体"/>
          <w:color w:val="000000"/>
          <w:sz w:val="18"/>
          <w:szCs w:val="18"/>
        </w:rPr>
        <w:t>+1</w:t>
      </w:r>
      <w:r>
        <w:rPr>
          <w:rFonts w:hint="eastAsia" w:ascii="宋体" w:hAnsi="宋体"/>
          <w:color w:val="000000"/>
          <w:sz w:val="18"/>
          <w:szCs w:val="18"/>
        </w:rPr>
        <w:t>日</w:t>
      </w:r>
      <w:r>
        <w:rPr>
          <w:rFonts w:ascii="宋体" w:hAnsi="宋体"/>
          <w:color w:val="000000"/>
          <w:sz w:val="18"/>
          <w:szCs w:val="18"/>
        </w:rPr>
        <w:t>兑付投资者的</w:t>
      </w:r>
      <w:r>
        <w:rPr>
          <w:rFonts w:hint="eastAsia" w:ascii="宋体" w:hAnsi="宋体"/>
          <w:color w:val="000000"/>
          <w:sz w:val="18"/>
          <w:szCs w:val="18"/>
        </w:rPr>
        <w:t>到账</w:t>
      </w:r>
      <w:r>
        <w:rPr>
          <w:rFonts w:ascii="宋体" w:hAnsi="宋体"/>
          <w:color w:val="000000"/>
          <w:sz w:val="18"/>
          <w:szCs w:val="18"/>
        </w:rPr>
        <w:t>本金和收益为：</w:t>
      </w:r>
    </w:p>
    <w:p>
      <w:pPr>
        <w:ind w:firstLine="360" w:firstLineChars="200"/>
        <w:rPr>
          <w:rFonts w:hint="eastAsia" w:ascii="宋体" w:hAnsi="宋体"/>
          <w:color w:val="000000"/>
          <w:sz w:val="18"/>
          <w:szCs w:val="18"/>
        </w:rPr>
      </w:pPr>
      <w:r>
        <w:rPr>
          <w:rFonts w:ascii="宋体" w:hAnsi="宋体"/>
          <w:color w:val="000000"/>
          <w:sz w:val="18"/>
          <w:szCs w:val="18"/>
        </w:rPr>
        <w:t>10,000.00×1=10,000.00（元）</w:t>
      </w:r>
    </w:p>
    <w:p>
      <w:pPr>
        <w:ind w:firstLine="360" w:firstLineChars="200"/>
        <w:rPr>
          <w:rFonts w:hint="eastAsia" w:ascii="宋体" w:hAnsi="宋体"/>
          <w:color w:val="000000"/>
          <w:sz w:val="18"/>
          <w:szCs w:val="18"/>
        </w:rPr>
      </w:pPr>
      <w:r>
        <w:rPr>
          <w:rFonts w:hint="eastAsia" w:ascii="宋体" w:hAnsi="宋体"/>
          <w:color w:val="000000"/>
          <w:sz w:val="18"/>
          <w:szCs w:val="18"/>
        </w:rPr>
        <w:t>部分赎回份额1</w:t>
      </w:r>
      <w:r>
        <w:rPr>
          <w:rFonts w:ascii="宋体" w:hAnsi="宋体"/>
          <w:color w:val="000000"/>
          <w:sz w:val="18"/>
          <w:szCs w:val="18"/>
        </w:rPr>
        <w:t>0,000</w:t>
      </w:r>
      <w:r>
        <w:rPr>
          <w:rFonts w:hint="eastAsia" w:ascii="宋体" w:hAnsi="宋体"/>
          <w:color w:val="000000"/>
          <w:sz w:val="18"/>
          <w:szCs w:val="18"/>
        </w:rPr>
        <w:t>份对应的1元未付收益将于T</w:t>
      </w:r>
      <w:r>
        <w:rPr>
          <w:rFonts w:ascii="宋体" w:hAnsi="宋体"/>
          <w:color w:val="000000"/>
          <w:sz w:val="18"/>
          <w:szCs w:val="18"/>
        </w:rPr>
        <w:t>+1</w:t>
      </w:r>
      <w:r>
        <w:rPr>
          <w:rFonts w:hint="eastAsia" w:ascii="宋体" w:hAnsi="宋体"/>
          <w:color w:val="000000"/>
          <w:sz w:val="18"/>
          <w:szCs w:val="18"/>
        </w:rPr>
        <w:t>日结转至投资者理财账户。</w:t>
      </w:r>
    </w:p>
    <w:p>
      <w:pPr>
        <w:spacing w:before="93" w:beforeLines="30"/>
        <w:ind w:firstLine="360" w:firstLineChars="200"/>
        <w:rPr>
          <w:rFonts w:hint="eastAsia" w:ascii="宋体" w:hAnsi="宋体"/>
          <w:color w:val="000000"/>
          <w:sz w:val="18"/>
          <w:szCs w:val="18"/>
        </w:rPr>
      </w:pPr>
      <w:r>
        <w:rPr>
          <w:rFonts w:hint="eastAsia" w:ascii="宋体" w:hAnsi="宋体"/>
          <w:color w:val="000000"/>
          <w:sz w:val="18"/>
          <w:szCs w:val="18"/>
        </w:rPr>
        <w:t>情景</w:t>
      </w:r>
      <w:r>
        <w:rPr>
          <w:rFonts w:ascii="宋体" w:hAnsi="宋体"/>
          <w:color w:val="000000"/>
          <w:sz w:val="18"/>
          <w:szCs w:val="18"/>
        </w:rPr>
        <w:t>4：假设投资者</w:t>
      </w:r>
      <w:r>
        <w:rPr>
          <w:rFonts w:hint="eastAsia" w:ascii="宋体" w:hAnsi="宋体"/>
          <w:color w:val="000000"/>
          <w:sz w:val="18"/>
          <w:szCs w:val="18"/>
        </w:rPr>
        <w:t>在存续期</w:t>
      </w:r>
      <w:r>
        <w:rPr>
          <w:rFonts w:ascii="宋体" w:hAnsi="宋体"/>
          <w:color w:val="000000"/>
          <w:sz w:val="18"/>
          <w:szCs w:val="18"/>
        </w:rPr>
        <w:t>购买本产品,投资本金为100,000.00元，</w:t>
      </w:r>
      <w:r>
        <w:rPr>
          <w:rFonts w:hint="eastAsia" w:ascii="宋体" w:hAnsi="宋体"/>
          <w:color w:val="000000"/>
          <w:sz w:val="18"/>
          <w:szCs w:val="18"/>
        </w:rPr>
        <w:t>确认</w:t>
      </w:r>
      <w:r>
        <w:rPr>
          <w:rFonts w:ascii="宋体" w:hAnsi="宋体"/>
          <w:color w:val="000000"/>
          <w:sz w:val="18"/>
          <w:szCs w:val="18"/>
        </w:rPr>
        <w:t>投资者份额为100,000.00份,假设投资者于T日（开放日）申请</w:t>
      </w:r>
      <w:r>
        <w:rPr>
          <w:rFonts w:hint="eastAsia" w:ascii="宋体" w:hAnsi="宋体"/>
          <w:color w:val="000000"/>
          <w:sz w:val="18"/>
          <w:szCs w:val="18"/>
        </w:rPr>
        <w:t>全额</w:t>
      </w:r>
      <w:r>
        <w:rPr>
          <w:rFonts w:ascii="宋体" w:hAnsi="宋体"/>
          <w:color w:val="000000"/>
          <w:sz w:val="18"/>
          <w:szCs w:val="18"/>
        </w:rPr>
        <w:t>赎回本产品，</w:t>
      </w:r>
      <w:r>
        <w:rPr>
          <w:rFonts w:hint="eastAsia" w:ascii="宋体" w:hAnsi="宋体"/>
          <w:color w:val="000000"/>
          <w:sz w:val="18"/>
          <w:szCs w:val="18"/>
        </w:rPr>
        <w:t>投资者提出赎回申请时理财账户持仓总份额为1</w:t>
      </w:r>
      <w:r>
        <w:rPr>
          <w:rFonts w:ascii="宋体" w:hAnsi="宋体"/>
          <w:color w:val="000000"/>
          <w:sz w:val="18"/>
          <w:szCs w:val="18"/>
        </w:rPr>
        <w:t>00,200.00</w:t>
      </w:r>
      <w:r>
        <w:rPr>
          <w:rFonts w:hint="eastAsia" w:ascii="宋体" w:hAnsi="宋体"/>
          <w:color w:val="000000"/>
          <w:sz w:val="18"/>
          <w:szCs w:val="18"/>
        </w:rPr>
        <w:t>份，赎回份额对应的未付收益为负</w:t>
      </w:r>
      <w:r>
        <w:rPr>
          <w:rFonts w:ascii="宋体" w:hAnsi="宋体"/>
          <w:color w:val="000000"/>
          <w:sz w:val="18"/>
          <w:szCs w:val="18"/>
        </w:rPr>
        <w:t>10</w:t>
      </w:r>
      <w:r>
        <w:rPr>
          <w:rFonts w:hint="eastAsia" w:ascii="宋体" w:hAnsi="宋体"/>
          <w:color w:val="000000"/>
          <w:sz w:val="18"/>
          <w:szCs w:val="18"/>
        </w:rPr>
        <w:t>元，且不收取强制赎回费，</w:t>
      </w:r>
      <w:r>
        <w:rPr>
          <w:rFonts w:ascii="宋体" w:hAnsi="宋体"/>
          <w:color w:val="000000"/>
          <w:sz w:val="18"/>
          <w:szCs w:val="18"/>
        </w:rPr>
        <w:t>则</w:t>
      </w:r>
      <w:r>
        <w:rPr>
          <w:rFonts w:hint="eastAsia" w:ascii="宋体" w:hAnsi="宋体"/>
          <w:color w:val="000000"/>
          <w:sz w:val="18"/>
          <w:szCs w:val="18"/>
        </w:rPr>
        <w:t>T</w:t>
      </w:r>
      <w:r>
        <w:rPr>
          <w:rFonts w:ascii="宋体" w:hAnsi="宋体"/>
          <w:color w:val="000000"/>
          <w:sz w:val="18"/>
          <w:szCs w:val="18"/>
        </w:rPr>
        <w:t>+1</w:t>
      </w:r>
      <w:r>
        <w:rPr>
          <w:rFonts w:hint="eastAsia" w:ascii="宋体" w:hAnsi="宋体"/>
          <w:color w:val="000000"/>
          <w:sz w:val="18"/>
          <w:szCs w:val="18"/>
        </w:rPr>
        <w:t>日</w:t>
      </w:r>
      <w:r>
        <w:rPr>
          <w:rFonts w:ascii="宋体" w:hAnsi="宋体"/>
          <w:color w:val="000000"/>
          <w:sz w:val="18"/>
          <w:szCs w:val="18"/>
        </w:rPr>
        <w:t>兑付投资者的</w:t>
      </w:r>
      <w:r>
        <w:rPr>
          <w:rFonts w:hint="eastAsia" w:ascii="宋体" w:hAnsi="宋体"/>
          <w:color w:val="000000"/>
          <w:sz w:val="18"/>
          <w:szCs w:val="18"/>
        </w:rPr>
        <w:t>到账</w:t>
      </w:r>
      <w:r>
        <w:rPr>
          <w:rFonts w:ascii="宋体" w:hAnsi="宋体"/>
          <w:color w:val="000000"/>
          <w:sz w:val="18"/>
          <w:szCs w:val="18"/>
        </w:rPr>
        <w:t>本金和收益为：</w:t>
      </w:r>
    </w:p>
    <w:p>
      <w:pPr>
        <w:ind w:firstLine="360" w:firstLineChars="200"/>
        <w:rPr>
          <w:rFonts w:hint="eastAsia" w:ascii="宋体" w:hAnsi="宋体"/>
          <w:color w:val="000000"/>
          <w:sz w:val="18"/>
          <w:szCs w:val="18"/>
        </w:rPr>
      </w:pPr>
      <w:r>
        <w:rPr>
          <w:rFonts w:ascii="宋体" w:hAnsi="宋体"/>
          <w:color w:val="000000"/>
          <w:sz w:val="18"/>
          <w:szCs w:val="18"/>
        </w:rPr>
        <w:t>100,200.00×1+</w:t>
      </w:r>
      <w:r>
        <w:rPr>
          <w:rFonts w:hint="eastAsia" w:ascii="宋体" w:hAnsi="宋体"/>
          <w:color w:val="000000"/>
          <w:sz w:val="18"/>
          <w:szCs w:val="18"/>
        </w:rPr>
        <w:t>（</w:t>
      </w:r>
      <w:r>
        <w:rPr>
          <w:rFonts w:ascii="宋体" w:hAnsi="宋体"/>
          <w:color w:val="000000"/>
          <w:sz w:val="18"/>
          <w:szCs w:val="18"/>
        </w:rPr>
        <w:t>-10</w:t>
      </w:r>
      <w:r>
        <w:rPr>
          <w:rFonts w:hint="eastAsia" w:ascii="宋体" w:hAnsi="宋体"/>
          <w:color w:val="000000"/>
          <w:sz w:val="18"/>
          <w:szCs w:val="18"/>
        </w:rPr>
        <w:t>）</w:t>
      </w:r>
      <w:r>
        <w:rPr>
          <w:rFonts w:ascii="宋体" w:hAnsi="宋体"/>
          <w:color w:val="000000"/>
          <w:sz w:val="18"/>
          <w:szCs w:val="18"/>
        </w:rPr>
        <w:t>=100,190.00（元）</w:t>
      </w:r>
    </w:p>
    <w:p>
      <w:pPr>
        <w:spacing w:before="93" w:beforeLines="30"/>
        <w:ind w:firstLine="360" w:firstLineChars="200"/>
        <w:rPr>
          <w:rFonts w:hint="eastAsia" w:ascii="宋体" w:hAnsi="宋体"/>
          <w:color w:val="000000"/>
          <w:sz w:val="18"/>
          <w:szCs w:val="18"/>
        </w:rPr>
      </w:pPr>
      <w:r>
        <w:rPr>
          <w:rFonts w:hint="eastAsia" w:ascii="宋体" w:hAnsi="宋体"/>
          <w:color w:val="000000"/>
          <w:sz w:val="18"/>
          <w:szCs w:val="18"/>
        </w:rPr>
        <w:t>情景</w:t>
      </w:r>
      <w:r>
        <w:rPr>
          <w:rFonts w:ascii="宋体" w:hAnsi="宋体"/>
          <w:color w:val="000000"/>
          <w:sz w:val="18"/>
          <w:szCs w:val="18"/>
        </w:rPr>
        <w:t>5：假设投资者在</w:t>
      </w:r>
      <w:r>
        <w:rPr>
          <w:rFonts w:hint="eastAsia" w:ascii="宋体" w:hAnsi="宋体"/>
          <w:color w:val="000000"/>
          <w:sz w:val="18"/>
          <w:szCs w:val="18"/>
        </w:rPr>
        <w:t>存续期</w:t>
      </w:r>
      <w:r>
        <w:rPr>
          <w:rFonts w:ascii="宋体" w:hAnsi="宋体"/>
          <w:color w:val="000000"/>
          <w:sz w:val="18"/>
          <w:szCs w:val="18"/>
        </w:rPr>
        <w:t>购买本产品,投资本金为100,000.00元，</w:t>
      </w:r>
      <w:r>
        <w:rPr>
          <w:rFonts w:hint="eastAsia" w:ascii="宋体" w:hAnsi="宋体"/>
          <w:color w:val="000000"/>
          <w:sz w:val="18"/>
          <w:szCs w:val="18"/>
        </w:rPr>
        <w:t>确认</w:t>
      </w:r>
      <w:r>
        <w:rPr>
          <w:rFonts w:ascii="宋体" w:hAnsi="宋体"/>
          <w:color w:val="000000"/>
          <w:sz w:val="18"/>
          <w:szCs w:val="18"/>
        </w:rPr>
        <w:t>投资者份额为100,000.00份,假设投资者于T日（开放日）申请</w:t>
      </w:r>
      <w:r>
        <w:rPr>
          <w:rFonts w:hint="eastAsia" w:ascii="宋体" w:hAnsi="宋体"/>
          <w:color w:val="000000"/>
          <w:sz w:val="18"/>
          <w:szCs w:val="18"/>
        </w:rPr>
        <w:t>部分</w:t>
      </w:r>
      <w:r>
        <w:rPr>
          <w:rFonts w:ascii="宋体" w:hAnsi="宋体"/>
          <w:color w:val="000000"/>
          <w:sz w:val="18"/>
          <w:szCs w:val="18"/>
        </w:rPr>
        <w:t>赎回本产品</w:t>
      </w:r>
      <w:r>
        <w:rPr>
          <w:rFonts w:hint="eastAsia" w:ascii="宋体" w:hAnsi="宋体"/>
          <w:color w:val="000000"/>
          <w:sz w:val="18"/>
          <w:szCs w:val="18"/>
        </w:rPr>
        <w:t>1</w:t>
      </w:r>
      <w:r>
        <w:rPr>
          <w:rFonts w:ascii="宋体" w:hAnsi="宋体"/>
          <w:color w:val="000000"/>
          <w:sz w:val="18"/>
          <w:szCs w:val="18"/>
        </w:rPr>
        <w:t>0,0</w:t>
      </w:r>
      <w:r>
        <w:rPr>
          <w:rFonts w:hint="eastAsia" w:ascii="宋体" w:hAnsi="宋体"/>
          <w:color w:val="000000"/>
          <w:sz w:val="18"/>
          <w:szCs w:val="18"/>
        </w:rPr>
        <w:t>2</w:t>
      </w:r>
      <w:r>
        <w:rPr>
          <w:rFonts w:ascii="宋体" w:hAnsi="宋体"/>
          <w:color w:val="000000"/>
          <w:sz w:val="18"/>
          <w:szCs w:val="18"/>
        </w:rPr>
        <w:t>0</w:t>
      </w:r>
      <w:r>
        <w:rPr>
          <w:rFonts w:hint="eastAsia" w:ascii="宋体" w:hAnsi="宋体"/>
          <w:color w:val="000000"/>
          <w:sz w:val="18"/>
          <w:szCs w:val="18"/>
        </w:rPr>
        <w:t>份</w:t>
      </w:r>
      <w:r>
        <w:rPr>
          <w:rFonts w:ascii="宋体" w:hAnsi="宋体"/>
          <w:color w:val="000000"/>
          <w:sz w:val="18"/>
          <w:szCs w:val="18"/>
        </w:rPr>
        <w:t>，</w:t>
      </w:r>
      <w:r>
        <w:rPr>
          <w:rFonts w:hint="eastAsia" w:ascii="宋体" w:hAnsi="宋体"/>
          <w:color w:val="000000"/>
          <w:sz w:val="18"/>
          <w:szCs w:val="18"/>
        </w:rPr>
        <w:t>投资者提出赎回申请时理财账户持仓总份额为1</w:t>
      </w:r>
      <w:r>
        <w:rPr>
          <w:rFonts w:ascii="宋体" w:hAnsi="宋体"/>
          <w:color w:val="000000"/>
          <w:sz w:val="18"/>
          <w:szCs w:val="18"/>
        </w:rPr>
        <w:t>00,200</w:t>
      </w:r>
      <w:r>
        <w:rPr>
          <w:rFonts w:hint="eastAsia" w:ascii="宋体" w:hAnsi="宋体"/>
          <w:color w:val="000000"/>
          <w:sz w:val="18"/>
          <w:szCs w:val="18"/>
        </w:rPr>
        <w:t>份，持仓份额的未付收益为负</w:t>
      </w:r>
      <w:r>
        <w:rPr>
          <w:rFonts w:ascii="宋体" w:hAnsi="宋体"/>
          <w:color w:val="000000"/>
          <w:sz w:val="18"/>
          <w:szCs w:val="18"/>
        </w:rPr>
        <w:t>10</w:t>
      </w:r>
      <w:r>
        <w:rPr>
          <w:rFonts w:hint="eastAsia" w:ascii="宋体" w:hAnsi="宋体"/>
          <w:color w:val="000000"/>
          <w:sz w:val="18"/>
          <w:szCs w:val="18"/>
        </w:rPr>
        <w:t>元，部分赎回份额对应的未付收益为负</w:t>
      </w:r>
      <w:r>
        <w:rPr>
          <w:rFonts w:ascii="宋体" w:hAnsi="宋体"/>
          <w:color w:val="000000"/>
          <w:sz w:val="18"/>
          <w:szCs w:val="18"/>
        </w:rPr>
        <w:t>1</w:t>
      </w:r>
      <w:r>
        <w:rPr>
          <w:rFonts w:hint="eastAsia" w:ascii="宋体" w:hAnsi="宋体"/>
          <w:color w:val="000000"/>
          <w:sz w:val="18"/>
          <w:szCs w:val="18"/>
        </w:rPr>
        <w:t>元，且不收取强制赎回费，</w:t>
      </w:r>
      <w:r>
        <w:rPr>
          <w:rFonts w:ascii="宋体" w:hAnsi="宋体"/>
          <w:color w:val="000000"/>
          <w:sz w:val="18"/>
          <w:szCs w:val="18"/>
        </w:rPr>
        <w:t>则</w:t>
      </w:r>
      <w:r>
        <w:rPr>
          <w:rFonts w:hint="eastAsia" w:ascii="宋体" w:hAnsi="宋体"/>
          <w:color w:val="000000"/>
          <w:sz w:val="18"/>
          <w:szCs w:val="18"/>
        </w:rPr>
        <w:t>T</w:t>
      </w:r>
      <w:r>
        <w:rPr>
          <w:rFonts w:ascii="宋体" w:hAnsi="宋体"/>
          <w:color w:val="000000"/>
          <w:sz w:val="18"/>
          <w:szCs w:val="18"/>
        </w:rPr>
        <w:t>+1</w:t>
      </w:r>
      <w:r>
        <w:rPr>
          <w:rFonts w:hint="eastAsia" w:ascii="宋体" w:hAnsi="宋体"/>
          <w:color w:val="000000"/>
          <w:sz w:val="18"/>
          <w:szCs w:val="18"/>
        </w:rPr>
        <w:t>日</w:t>
      </w:r>
      <w:r>
        <w:rPr>
          <w:rFonts w:ascii="宋体" w:hAnsi="宋体"/>
          <w:color w:val="000000"/>
          <w:sz w:val="18"/>
          <w:szCs w:val="18"/>
        </w:rPr>
        <w:t>兑付投资者的</w:t>
      </w:r>
      <w:r>
        <w:rPr>
          <w:rFonts w:hint="eastAsia" w:ascii="宋体" w:hAnsi="宋体"/>
          <w:color w:val="000000"/>
          <w:sz w:val="18"/>
          <w:szCs w:val="18"/>
        </w:rPr>
        <w:t>到账</w:t>
      </w:r>
      <w:r>
        <w:rPr>
          <w:rFonts w:ascii="宋体" w:hAnsi="宋体"/>
          <w:color w:val="000000"/>
          <w:sz w:val="18"/>
          <w:szCs w:val="18"/>
        </w:rPr>
        <w:t>本金和收益为：</w:t>
      </w:r>
    </w:p>
    <w:p>
      <w:pPr>
        <w:ind w:firstLine="360" w:firstLineChars="200"/>
        <w:rPr>
          <w:rFonts w:hint="eastAsia" w:ascii="宋体" w:hAnsi="宋体"/>
          <w:color w:val="000000"/>
          <w:sz w:val="18"/>
          <w:szCs w:val="18"/>
        </w:rPr>
      </w:pPr>
      <w:r>
        <w:rPr>
          <w:rFonts w:hint="eastAsia" w:ascii="宋体" w:hAnsi="宋体"/>
          <w:color w:val="000000"/>
          <w:sz w:val="18"/>
          <w:szCs w:val="18"/>
        </w:rPr>
        <w:t>赎回份额对应的未付收益=1</w:t>
      </w:r>
      <w:r>
        <w:rPr>
          <w:rFonts w:ascii="宋体" w:hAnsi="宋体"/>
          <w:color w:val="000000"/>
          <w:sz w:val="18"/>
          <w:szCs w:val="18"/>
        </w:rPr>
        <w:t>0,0</w:t>
      </w:r>
      <w:r>
        <w:rPr>
          <w:rFonts w:hint="eastAsia" w:ascii="宋体" w:hAnsi="宋体"/>
          <w:color w:val="000000"/>
          <w:sz w:val="18"/>
          <w:szCs w:val="18"/>
        </w:rPr>
        <w:t>2</w:t>
      </w:r>
      <w:r>
        <w:rPr>
          <w:rFonts w:ascii="宋体" w:hAnsi="宋体"/>
          <w:color w:val="000000"/>
          <w:sz w:val="18"/>
          <w:szCs w:val="18"/>
        </w:rPr>
        <w:t>0/100,</w:t>
      </w:r>
      <w:r>
        <w:rPr>
          <w:rFonts w:hint="eastAsia" w:ascii="宋体" w:hAnsi="宋体"/>
          <w:color w:val="000000"/>
          <w:sz w:val="18"/>
          <w:szCs w:val="18"/>
        </w:rPr>
        <w:t>2</w:t>
      </w:r>
      <w:r>
        <w:rPr>
          <w:rFonts w:ascii="宋体" w:hAnsi="宋体"/>
          <w:color w:val="000000"/>
          <w:sz w:val="18"/>
          <w:szCs w:val="18"/>
        </w:rPr>
        <w:t>00.00*</w:t>
      </w:r>
      <w:r>
        <w:rPr>
          <w:rFonts w:hint="eastAsia" w:ascii="宋体" w:hAnsi="宋体"/>
          <w:color w:val="000000"/>
          <w:sz w:val="18"/>
          <w:szCs w:val="18"/>
        </w:rPr>
        <w:t>（-</w:t>
      </w:r>
      <w:r>
        <w:rPr>
          <w:rFonts w:ascii="宋体" w:hAnsi="宋体"/>
          <w:color w:val="000000"/>
          <w:sz w:val="18"/>
          <w:szCs w:val="18"/>
        </w:rPr>
        <w:t>10</w:t>
      </w:r>
      <w:r>
        <w:rPr>
          <w:rFonts w:hint="eastAsia" w:ascii="宋体" w:hAnsi="宋体"/>
          <w:color w:val="000000"/>
          <w:sz w:val="18"/>
          <w:szCs w:val="18"/>
        </w:rPr>
        <w:t>）=</w:t>
      </w:r>
      <w:r>
        <w:rPr>
          <w:rFonts w:ascii="宋体" w:hAnsi="宋体"/>
          <w:color w:val="000000"/>
          <w:sz w:val="18"/>
          <w:szCs w:val="18"/>
        </w:rPr>
        <w:t xml:space="preserve"> -1</w:t>
      </w:r>
      <w:r>
        <w:rPr>
          <w:rFonts w:hint="eastAsia" w:ascii="宋体" w:hAnsi="宋体"/>
          <w:color w:val="000000"/>
          <w:sz w:val="18"/>
          <w:szCs w:val="18"/>
        </w:rPr>
        <w:t>元</w:t>
      </w:r>
    </w:p>
    <w:p>
      <w:pPr>
        <w:ind w:firstLine="360" w:firstLineChars="200"/>
        <w:rPr>
          <w:rFonts w:hint="eastAsia" w:ascii="宋体" w:hAnsi="宋体"/>
          <w:color w:val="000000"/>
          <w:sz w:val="18"/>
          <w:szCs w:val="18"/>
        </w:rPr>
      </w:pPr>
      <w:r>
        <w:rPr>
          <w:rFonts w:hint="eastAsia" w:ascii="宋体" w:hAnsi="宋体"/>
          <w:color w:val="000000"/>
          <w:sz w:val="18"/>
          <w:szCs w:val="18"/>
        </w:rPr>
        <w:t>赎回金额=</w:t>
      </w:r>
      <w:r>
        <w:rPr>
          <w:rFonts w:ascii="宋体" w:hAnsi="宋体"/>
          <w:color w:val="000000"/>
          <w:sz w:val="18"/>
          <w:szCs w:val="18"/>
        </w:rPr>
        <w:t>10,0</w:t>
      </w:r>
      <w:r>
        <w:rPr>
          <w:rFonts w:hint="eastAsia" w:ascii="宋体" w:hAnsi="宋体"/>
          <w:color w:val="000000"/>
          <w:sz w:val="18"/>
          <w:szCs w:val="18"/>
        </w:rPr>
        <w:t>2</w:t>
      </w:r>
      <w:r>
        <w:rPr>
          <w:rFonts w:ascii="宋体" w:hAnsi="宋体"/>
          <w:color w:val="000000"/>
          <w:sz w:val="18"/>
          <w:szCs w:val="18"/>
        </w:rPr>
        <w:t>0.00×1+</w:t>
      </w:r>
      <w:r>
        <w:rPr>
          <w:rFonts w:hint="eastAsia" w:ascii="宋体" w:hAnsi="宋体"/>
          <w:color w:val="000000"/>
          <w:sz w:val="18"/>
          <w:szCs w:val="18"/>
        </w:rPr>
        <w:t>（</w:t>
      </w:r>
      <w:r>
        <w:rPr>
          <w:rFonts w:ascii="宋体" w:hAnsi="宋体"/>
          <w:color w:val="000000"/>
          <w:sz w:val="18"/>
          <w:szCs w:val="18"/>
        </w:rPr>
        <w:t>-1</w:t>
      </w:r>
      <w:r>
        <w:rPr>
          <w:rFonts w:hint="eastAsia" w:ascii="宋体" w:hAnsi="宋体"/>
          <w:color w:val="000000"/>
          <w:sz w:val="18"/>
          <w:szCs w:val="18"/>
        </w:rPr>
        <w:t>）</w:t>
      </w:r>
      <w:r>
        <w:rPr>
          <w:rFonts w:ascii="宋体" w:hAnsi="宋体"/>
          <w:color w:val="000000"/>
          <w:sz w:val="18"/>
          <w:szCs w:val="18"/>
        </w:rPr>
        <w:t>=</w:t>
      </w:r>
      <w:r>
        <w:rPr>
          <w:rFonts w:hint="eastAsia" w:ascii="宋体" w:hAnsi="宋体"/>
          <w:color w:val="000000"/>
          <w:sz w:val="18"/>
          <w:szCs w:val="18"/>
        </w:rPr>
        <w:t>10</w:t>
      </w:r>
      <w:r>
        <w:rPr>
          <w:rFonts w:ascii="宋体" w:hAnsi="宋体"/>
          <w:color w:val="000000"/>
          <w:sz w:val="18"/>
          <w:szCs w:val="18"/>
        </w:rPr>
        <w:t>,</w:t>
      </w:r>
      <w:r>
        <w:rPr>
          <w:rFonts w:hint="eastAsia" w:ascii="宋体" w:hAnsi="宋体"/>
          <w:color w:val="000000"/>
          <w:sz w:val="18"/>
          <w:szCs w:val="18"/>
        </w:rPr>
        <w:t>01</w:t>
      </w:r>
      <w:r>
        <w:rPr>
          <w:rFonts w:ascii="宋体" w:hAnsi="宋体"/>
          <w:color w:val="000000"/>
          <w:sz w:val="18"/>
          <w:szCs w:val="18"/>
        </w:rPr>
        <w:t>9.00（元）</w:t>
      </w:r>
    </w:p>
    <w:p>
      <w:pPr>
        <w:ind w:firstLine="360" w:firstLineChars="200"/>
        <w:rPr>
          <w:rFonts w:hint="eastAsia" w:ascii="宋体" w:hAnsi="宋体"/>
          <w:color w:val="000000"/>
          <w:sz w:val="18"/>
          <w:szCs w:val="18"/>
        </w:rPr>
      </w:pPr>
      <w:r>
        <w:rPr>
          <w:rFonts w:hint="eastAsia" w:ascii="宋体" w:hAnsi="宋体"/>
          <w:color w:val="000000"/>
          <w:sz w:val="18"/>
          <w:szCs w:val="18"/>
        </w:rPr>
        <w:t>投资者理财账户剩余未付收益为负9元。</w:t>
      </w:r>
    </w:p>
    <w:p>
      <w:pPr>
        <w:spacing w:before="93" w:beforeLines="30"/>
        <w:ind w:firstLine="360" w:firstLineChars="200"/>
        <w:rPr>
          <w:rFonts w:hint="eastAsia" w:ascii="宋体" w:hAnsi="宋体"/>
          <w:color w:val="000000"/>
          <w:sz w:val="18"/>
          <w:szCs w:val="18"/>
        </w:rPr>
      </w:pPr>
      <w:r>
        <w:rPr>
          <w:rFonts w:ascii="宋体" w:hAnsi="宋体"/>
          <w:color w:val="000000"/>
          <w:sz w:val="18"/>
          <w:szCs w:val="18"/>
        </w:rPr>
        <w:t>在投资于基础资产的本金未按时足额回收的情况下，须根据投资于基础资产的本金及收益实际回收情况在扣除相关固定费用后计算投资者应得本金及收益；如发生基础资产无法回收任何本金和收益的不利情况下，投资者将损失</w:t>
      </w:r>
      <w:r>
        <w:rPr>
          <w:rFonts w:hint="eastAsia" w:ascii="宋体" w:hAnsi="宋体"/>
          <w:color w:val="000000"/>
          <w:sz w:val="18"/>
          <w:szCs w:val="18"/>
        </w:rPr>
        <w:t>全部</w:t>
      </w:r>
      <w:r>
        <w:rPr>
          <w:rFonts w:ascii="宋体" w:hAnsi="宋体"/>
          <w:color w:val="000000"/>
          <w:sz w:val="18"/>
          <w:szCs w:val="18"/>
        </w:rPr>
        <w:t>本金。</w:t>
      </w:r>
    </w:p>
    <w:p>
      <w:pPr>
        <w:ind w:firstLine="360" w:firstLineChars="200"/>
        <w:rPr>
          <w:rFonts w:hint="eastAsia" w:ascii="宋体" w:hAnsi="宋体"/>
          <w:color w:val="000000"/>
          <w:sz w:val="18"/>
          <w:szCs w:val="18"/>
        </w:rPr>
      </w:pPr>
      <w:r>
        <w:rPr>
          <w:rFonts w:hint="eastAsia" w:ascii="宋体" w:hAnsi="宋体"/>
          <w:color w:val="000000"/>
          <w:sz w:val="18"/>
          <w:szCs w:val="18"/>
        </w:rPr>
        <w:t>最不利的投资情形和投资结果，主要体现为：一是产品到期可能发生的延期兑付；二是产品投资的资产折价变现，可能影响产品收益实现。产生上述可能结果的原因主要包括：一是投资的资产或资产组合目前受限于二级流通市场缺失，存在流动性风险；二是投资的债券等受市场价格波动影响，存在市场风险；三是投资的资产或资产组合涉及的债券发行人</w:t>
      </w:r>
      <w:r>
        <w:rPr>
          <w:rFonts w:ascii="宋体" w:hAnsi="宋体"/>
          <w:color w:val="000000"/>
          <w:sz w:val="18"/>
          <w:szCs w:val="18"/>
        </w:rPr>
        <w:t>/其他义务人因违约造成的风险。如发生上述最不利的投资情形和投资结果，投资者将面临本金和收益损失的风险。</w:t>
      </w:r>
    </w:p>
    <w:p>
      <w:pPr>
        <w:ind w:firstLine="361" w:firstLineChars="200"/>
        <w:rPr>
          <w:rFonts w:hint="eastAsia" w:ascii="宋体" w:hAnsi="宋体"/>
          <w:b/>
          <w:color w:val="000000"/>
          <w:sz w:val="18"/>
          <w:szCs w:val="18"/>
        </w:rPr>
      </w:pPr>
      <w:r>
        <w:rPr>
          <w:rFonts w:hint="eastAsia" w:ascii="宋体" w:hAnsi="宋体"/>
          <w:b/>
          <w:color w:val="000000"/>
          <w:sz w:val="18"/>
          <w:szCs w:val="18"/>
        </w:rPr>
        <w:t>（上述示例采用模拟数据计算，测算收益不等于实际收益，不代表以上的所有情形或某一情形一定会发生，投资者所能获得的收益以建信理财有限责任公司的实际支付为准。）</w:t>
      </w:r>
    </w:p>
    <w:p>
      <w:pPr>
        <w:ind w:firstLine="360" w:firstLineChars="200"/>
        <w:rPr>
          <w:rFonts w:hint="eastAsia" w:ascii="宋体" w:hAnsi="宋体"/>
          <w:sz w:val="18"/>
          <w:szCs w:val="18"/>
        </w:rPr>
      </w:pPr>
    </w:p>
    <w:p>
      <w:pPr>
        <w:ind w:firstLine="482" w:firstLineChars="200"/>
        <w:outlineLvl w:val="0"/>
        <w:rPr>
          <w:rFonts w:hint="eastAsia" w:ascii="宋体" w:hAnsi="宋体"/>
          <w:b/>
          <w:bCs/>
          <w:sz w:val="24"/>
          <w:szCs w:val="21"/>
        </w:rPr>
      </w:pPr>
      <w:r>
        <w:rPr>
          <w:rFonts w:hint="eastAsia" w:ascii="宋体" w:hAnsi="宋体"/>
          <w:b/>
          <w:bCs/>
          <w:sz w:val="24"/>
          <w:szCs w:val="21"/>
        </w:rPr>
        <w:t>八、信息披露</w:t>
      </w:r>
    </w:p>
    <w:p>
      <w:pPr>
        <w:ind w:firstLine="361" w:firstLineChars="200"/>
        <w:rPr>
          <w:rStyle w:val="14"/>
          <w:sz w:val="18"/>
          <w:szCs w:val="18"/>
        </w:rPr>
      </w:pPr>
      <w:r>
        <w:rPr>
          <w:rStyle w:val="14"/>
          <w:sz w:val="18"/>
          <w:szCs w:val="18"/>
        </w:rPr>
        <w:t>（一）</w:t>
      </w:r>
      <w:r>
        <w:rPr>
          <w:rFonts w:hint="eastAsia" w:ascii="宋体" w:hAnsi="宋体"/>
          <w:b/>
          <w:sz w:val="18"/>
          <w:szCs w:val="18"/>
        </w:rPr>
        <w:t>建信理财有限责任公司通过管理人网站（www.wealthccb.com）、</w:t>
      </w:r>
      <w:r>
        <w:rPr>
          <w:rFonts w:hint="eastAsia" w:ascii="宋体" w:hAnsi="宋体"/>
          <w:b/>
          <w:bCs/>
          <w:sz w:val="18"/>
          <w:szCs w:val="18"/>
        </w:rPr>
        <w:t>代销机构官方渠道（如官方网站/网上银行/手机银行/营业网点）</w:t>
      </w:r>
      <w:r>
        <w:rPr>
          <w:rFonts w:hint="eastAsia" w:ascii="宋体" w:hAnsi="宋体"/>
          <w:b/>
          <w:sz w:val="18"/>
          <w:szCs w:val="18"/>
        </w:rPr>
        <w:t>或行业统一信息披露渠道如中国理财网（chinawealth.com.cn）等对本产品进行信息披露（将使用其中一种或多种渠道进行信息披露），信息披露的内容包括本产品以下相关内容及本产品说明书约定的其他信息披露内容：</w:t>
      </w:r>
    </w:p>
    <w:p>
      <w:pPr>
        <w:ind w:firstLine="361" w:firstLineChars="200"/>
        <w:rPr>
          <w:rFonts w:hint="eastAsia" w:ascii="宋体" w:hAnsi="宋体"/>
          <w:b/>
          <w:sz w:val="18"/>
          <w:szCs w:val="18"/>
        </w:rPr>
      </w:pPr>
      <w:r>
        <w:rPr>
          <w:rFonts w:hint="eastAsia" w:ascii="宋体" w:hAnsi="宋体"/>
          <w:b/>
          <w:sz w:val="18"/>
          <w:szCs w:val="18"/>
        </w:rPr>
        <w:t>1.产品净值信息披露</w:t>
      </w:r>
    </w:p>
    <w:p>
      <w:pPr>
        <w:ind w:firstLine="360" w:firstLineChars="200"/>
        <w:rPr>
          <w:rFonts w:hint="eastAsia" w:ascii="宋体" w:hAnsi="宋体"/>
          <w:sz w:val="18"/>
          <w:szCs w:val="18"/>
        </w:rPr>
      </w:pPr>
      <w:r>
        <w:rPr>
          <w:rFonts w:hint="eastAsia" w:ascii="宋体" w:hAnsi="宋体"/>
          <w:sz w:val="18"/>
          <w:szCs w:val="18"/>
        </w:rPr>
        <w:t>产品每个开放日的万份收益和七日年化收益率于该日后的2个工作日之内公布，如遇特殊情况以产品管理人信息披露为准。</w:t>
      </w:r>
    </w:p>
    <w:p>
      <w:pPr>
        <w:ind w:firstLine="361" w:firstLineChars="200"/>
        <w:rPr>
          <w:rFonts w:hint="eastAsia" w:ascii="宋体" w:hAnsi="宋体"/>
          <w:b/>
          <w:sz w:val="18"/>
          <w:szCs w:val="18"/>
        </w:rPr>
      </w:pPr>
      <w:r>
        <w:rPr>
          <w:rFonts w:hint="eastAsia" w:ascii="宋体" w:hAnsi="宋体"/>
          <w:b/>
          <w:sz w:val="18"/>
          <w:szCs w:val="18"/>
        </w:rPr>
        <w:t>2.产品成立信息披露</w:t>
      </w:r>
    </w:p>
    <w:p>
      <w:pPr>
        <w:ind w:firstLine="360" w:firstLineChars="200"/>
        <w:rPr>
          <w:rFonts w:hint="eastAsia" w:ascii="宋体" w:hAnsi="宋体"/>
          <w:sz w:val="18"/>
          <w:szCs w:val="18"/>
        </w:rPr>
      </w:pPr>
      <w:r>
        <w:rPr>
          <w:rFonts w:hint="eastAsia" w:ascii="宋体" w:hAnsi="宋体"/>
          <w:sz w:val="18"/>
          <w:szCs w:val="18"/>
        </w:rPr>
        <w:t>（1）在产品成立后的5个工作日内发布产品发行公告。</w:t>
      </w:r>
    </w:p>
    <w:p>
      <w:pPr>
        <w:ind w:firstLine="361" w:firstLineChars="200"/>
        <w:rPr>
          <w:rFonts w:hint="eastAsia" w:ascii="宋体" w:hAnsi="宋体"/>
          <w:b/>
          <w:sz w:val="18"/>
          <w:szCs w:val="18"/>
        </w:rPr>
      </w:pPr>
      <w:r>
        <w:rPr>
          <w:rFonts w:hint="eastAsia" w:ascii="宋体" w:hAnsi="宋体"/>
          <w:b/>
          <w:sz w:val="18"/>
          <w:szCs w:val="18"/>
        </w:rPr>
        <w:t>（2）产品提前成立的</w:t>
      </w:r>
      <w:r>
        <w:rPr>
          <w:rFonts w:hint="eastAsia" w:ascii="宋体" w:hAnsi="宋体"/>
          <w:sz w:val="18"/>
          <w:szCs w:val="18"/>
        </w:rPr>
        <w:t>，</w:t>
      </w:r>
      <w:r>
        <w:rPr>
          <w:rFonts w:hint="eastAsia" w:ascii="宋体" w:hAnsi="宋体"/>
          <w:sz w:val="18"/>
          <w:szCs w:val="18"/>
          <w:u w:val="single"/>
        </w:rPr>
        <w:t>最晚于实际成立日进行信息披露。</w:t>
      </w:r>
    </w:p>
    <w:p>
      <w:pPr>
        <w:ind w:firstLine="361" w:firstLineChars="200"/>
        <w:rPr>
          <w:rFonts w:hint="eastAsia" w:ascii="宋体" w:hAnsi="宋体"/>
          <w:b/>
          <w:sz w:val="18"/>
          <w:szCs w:val="18"/>
        </w:rPr>
      </w:pPr>
      <w:r>
        <w:rPr>
          <w:rFonts w:hint="eastAsia" w:ascii="宋体" w:hAnsi="宋体"/>
          <w:b/>
          <w:sz w:val="18"/>
          <w:szCs w:val="18"/>
        </w:rPr>
        <w:t>（3）产品延迟成立的</w:t>
      </w:r>
      <w:r>
        <w:rPr>
          <w:rFonts w:hint="eastAsia" w:ascii="宋体" w:hAnsi="宋体"/>
          <w:sz w:val="18"/>
          <w:szCs w:val="18"/>
        </w:rPr>
        <w:t>，</w:t>
      </w:r>
      <w:r>
        <w:rPr>
          <w:rFonts w:hint="eastAsia" w:ascii="宋体" w:hAnsi="宋体"/>
          <w:sz w:val="18"/>
          <w:szCs w:val="18"/>
          <w:u w:val="single"/>
        </w:rPr>
        <w:t>最晚于产品计划成立日进行信息披露。</w:t>
      </w:r>
    </w:p>
    <w:p>
      <w:pPr>
        <w:ind w:firstLine="361" w:firstLineChars="200"/>
        <w:rPr>
          <w:rFonts w:hint="eastAsia" w:ascii="宋体" w:hAnsi="宋体"/>
          <w:b/>
          <w:sz w:val="18"/>
          <w:szCs w:val="18"/>
        </w:rPr>
      </w:pPr>
      <w:r>
        <w:rPr>
          <w:rFonts w:hint="eastAsia" w:ascii="宋体" w:hAnsi="宋体"/>
          <w:b/>
          <w:sz w:val="18"/>
          <w:szCs w:val="18"/>
        </w:rPr>
        <w:t>（</w:t>
      </w:r>
      <w:r>
        <w:rPr>
          <w:rFonts w:ascii="宋体" w:hAnsi="宋体"/>
          <w:b/>
          <w:sz w:val="18"/>
          <w:szCs w:val="18"/>
        </w:rPr>
        <w:t>4</w:t>
      </w:r>
      <w:r>
        <w:rPr>
          <w:rFonts w:hint="eastAsia" w:ascii="宋体" w:hAnsi="宋体"/>
          <w:b/>
          <w:sz w:val="18"/>
          <w:szCs w:val="18"/>
        </w:rPr>
        <w:t>）</w:t>
      </w:r>
      <w:r>
        <w:rPr>
          <w:rFonts w:hint="eastAsia" w:ascii="宋体" w:hAnsi="宋体"/>
          <w:b/>
          <w:color w:val="000000"/>
          <w:kern w:val="0"/>
          <w:sz w:val="18"/>
          <w:szCs w:val="18"/>
        </w:rPr>
        <w:t>若有投资者购买了本产品且本产品不成立，</w:t>
      </w:r>
      <w:r>
        <w:rPr>
          <w:rFonts w:hint="eastAsia" w:ascii="宋体" w:hAnsi="宋体"/>
          <w:color w:val="000000"/>
          <w:kern w:val="0"/>
          <w:sz w:val="18"/>
          <w:szCs w:val="18"/>
          <w:u w:val="single"/>
        </w:rPr>
        <w:t>产品管理人最晚于产品计划成立日对产品不成立进行信息披露。</w:t>
      </w:r>
    </w:p>
    <w:p>
      <w:pPr>
        <w:ind w:firstLine="361" w:firstLineChars="200"/>
        <w:rPr>
          <w:rFonts w:hint="eastAsia" w:ascii="宋体" w:hAnsi="宋体"/>
          <w:b/>
          <w:sz w:val="18"/>
          <w:szCs w:val="18"/>
        </w:rPr>
      </w:pPr>
      <w:r>
        <w:rPr>
          <w:rFonts w:hint="eastAsia" w:ascii="宋体" w:hAnsi="宋体"/>
          <w:b/>
          <w:sz w:val="18"/>
          <w:szCs w:val="18"/>
        </w:rPr>
        <w:t>3.产品定期报告</w:t>
      </w:r>
    </w:p>
    <w:p>
      <w:pPr>
        <w:ind w:firstLine="360" w:firstLineChars="200"/>
        <w:rPr>
          <w:rFonts w:hint="eastAsia" w:ascii="宋体" w:hAnsi="宋体"/>
          <w:sz w:val="18"/>
          <w:szCs w:val="18"/>
        </w:rPr>
      </w:pPr>
      <w:r>
        <w:rPr>
          <w:rFonts w:hint="eastAsia" w:ascii="宋体" w:hAnsi="宋体"/>
          <w:sz w:val="18"/>
          <w:szCs w:val="18"/>
        </w:rPr>
        <w:t>每个季度结束之日起15</w:t>
      </w:r>
      <w:r>
        <w:rPr>
          <w:rFonts w:hint="eastAsia" w:ascii="宋体" w:hAnsi="宋体"/>
          <w:bCs/>
          <w:sz w:val="18"/>
          <w:szCs w:val="18"/>
        </w:rPr>
        <w:t>个工作日</w:t>
      </w:r>
      <w:r>
        <w:rPr>
          <w:rFonts w:hint="eastAsia" w:ascii="宋体" w:hAnsi="宋体"/>
          <w:sz w:val="18"/>
          <w:szCs w:val="18"/>
        </w:rPr>
        <w:t>内，上半年结束之日起60个工作日内，每年结束之日起90个工作日内发布产品的季度报告、半年报告及年度报告。逢半年末，当季季度报告合并入半年报告；逢年末，半年度报告合并入年度报告；理财产品成立不足90个工作日或者剩余存续期不超过90个工作日的，产品管理人可以不编制理财产品当期的季度、半年和年度报告。</w:t>
      </w:r>
    </w:p>
    <w:p>
      <w:pPr>
        <w:ind w:firstLine="361" w:firstLineChars="200"/>
        <w:rPr>
          <w:rFonts w:hint="eastAsia" w:ascii="宋体" w:hAnsi="宋体"/>
          <w:b/>
          <w:sz w:val="18"/>
          <w:szCs w:val="18"/>
        </w:rPr>
      </w:pPr>
      <w:r>
        <w:rPr>
          <w:rFonts w:hint="eastAsia" w:ascii="宋体" w:hAnsi="宋体"/>
          <w:b/>
          <w:sz w:val="18"/>
          <w:szCs w:val="18"/>
        </w:rPr>
        <w:t>4.产品临时性信息披露</w:t>
      </w:r>
    </w:p>
    <w:p>
      <w:pPr>
        <w:ind w:firstLine="360" w:firstLineChars="200"/>
        <w:rPr>
          <w:rFonts w:hint="eastAsia" w:ascii="宋体" w:hAnsi="宋体"/>
          <w:sz w:val="18"/>
          <w:szCs w:val="18"/>
        </w:rPr>
      </w:pPr>
      <w:r>
        <w:rPr>
          <w:rFonts w:hint="eastAsia" w:ascii="宋体" w:hAnsi="宋体"/>
          <w:sz w:val="18"/>
          <w:szCs w:val="18"/>
        </w:rPr>
        <w:t>（1）</w:t>
      </w:r>
      <w:r>
        <w:rPr>
          <w:rFonts w:hint="eastAsia" w:ascii="宋体" w:hAnsi="宋体"/>
          <w:b/>
          <w:sz w:val="18"/>
          <w:szCs w:val="18"/>
        </w:rPr>
        <w:t>发生产品管理人或托管人变更的情形，</w:t>
      </w:r>
      <w:r>
        <w:rPr>
          <w:rFonts w:hint="eastAsia" w:ascii="宋体" w:hAnsi="宋体"/>
          <w:sz w:val="18"/>
          <w:szCs w:val="18"/>
          <w:u w:val="single"/>
        </w:rPr>
        <w:t>至少提前</w:t>
      </w:r>
      <w:r>
        <w:rPr>
          <w:rFonts w:ascii="宋体" w:hAnsi="宋体"/>
          <w:sz w:val="18"/>
          <w:szCs w:val="18"/>
          <w:u w:val="single"/>
        </w:rPr>
        <w:t>2个工作日进行信息披露。</w:t>
      </w:r>
    </w:p>
    <w:p>
      <w:pPr>
        <w:ind w:firstLine="360" w:firstLineChars="200"/>
        <w:rPr>
          <w:rFonts w:hint="eastAsia" w:ascii="宋体" w:hAnsi="宋体"/>
          <w:sz w:val="18"/>
          <w:szCs w:val="18"/>
          <w:u w:val="single"/>
        </w:rPr>
      </w:pPr>
      <w:r>
        <w:rPr>
          <w:rFonts w:hint="eastAsia" w:ascii="宋体" w:hAnsi="宋体"/>
          <w:sz w:val="18"/>
          <w:szCs w:val="18"/>
        </w:rPr>
        <w:t>（2）</w:t>
      </w:r>
      <w:r>
        <w:rPr>
          <w:rFonts w:hint="eastAsia" w:ascii="宋体" w:hAnsi="宋体"/>
          <w:b/>
          <w:sz w:val="18"/>
          <w:szCs w:val="18"/>
        </w:rPr>
        <w:t>如产品管理人调整产品规模上限或下限，</w:t>
      </w:r>
      <w:r>
        <w:rPr>
          <w:rFonts w:hint="eastAsia" w:ascii="宋体" w:hAnsi="宋体"/>
          <w:sz w:val="18"/>
          <w:szCs w:val="18"/>
          <w:u w:val="single"/>
        </w:rPr>
        <w:t>最晚于调整规模上限或下限之日进行信息披露。</w:t>
      </w:r>
    </w:p>
    <w:p>
      <w:pPr>
        <w:ind w:firstLine="360" w:firstLineChars="200"/>
        <w:rPr>
          <w:rFonts w:hint="eastAsia" w:ascii="宋体" w:hAnsi="宋体"/>
          <w:sz w:val="18"/>
          <w:szCs w:val="18"/>
        </w:rPr>
      </w:pPr>
      <w:r>
        <w:rPr>
          <w:rFonts w:hint="eastAsia" w:ascii="宋体" w:hAnsi="宋体"/>
          <w:sz w:val="18"/>
          <w:szCs w:val="18"/>
        </w:rPr>
        <w:t>（3）</w:t>
      </w:r>
      <w:r>
        <w:rPr>
          <w:rFonts w:hint="eastAsia" w:ascii="宋体" w:hAnsi="宋体"/>
          <w:bCs/>
          <w:sz w:val="18"/>
          <w:szCs w:val="18"/>
        </w:rPr>
        <w:t>如遇</w:t>
      </w:r>
      <w:r>
        <w:rPr>
          <w:rFonts w:hint="eastAsia" w:ascii="宋体" w:hAnsi="宋体"/>
          <w:sz w:val="18"/>
          <w:szCs w:val="18"/>
        </w:rPr>
        <w:t>申购开放日和赎回开放日</w:t>
      </w:r>
      <w:r>
        <w:rPr>
          <w:rFonts w:hint="eastAsia" w:ascii="宋体" w:hAnsi="宋体"/>
          <w:bCs/>
          <w:sz w:val="18"/>
          <w:szCs w:val="18"/>
        </w:rPr>
        <w:t>特殊情况，以产品管理人信息披露为准。</w:t>
      </w:r>
    </w:p>
    <w:p>
      <w:pPr>
        <w:ind w:firstLine="360" w:firstLineChars="200"/>
        <w:rPr>
          <w:rFonts w:hint="eastAsia" w:ascii="宋体" w:hAnsi="宋体"/>
          <w:sz w:val="18"/>
          <w:szCs w:val="18"/>
        </w:rPr>
      </w:pPr>
      <w:r>
        <w:rPr>
          <w:rFonts w:hint="eastAsia" w:ascii="宋体" w:hAnsi="宋体"/>
          <w:sz w:val="18"/>
          <w:szCs w:val="18"/>
        </w:rPr>
        <w:t>（4）如遇工作日特殊情况，以产品管理人信息披露为准。</w:t>
      </w:r>
    </w:p>
    <w:p>
      <w:pPr>
        <w:ind w:firstLine="360" w:firstLineChars="200"/>
        <w:rPr>
          <w:rFonts w:hint="eastAsia" w:ascii="宋体" w:hAnsi="宋体"/>
          <w:sz w:val="18"/>
          <w:szCs w:val="18"/>
        </w:rPr>
      </w:pPr>
      <w:r>
        <w:rPr>
          <w:rFonts w:hint="eastAsia" w:ascii="宋体" w:hAnsi="宋体"/>
          <w:sz w:val="18"/>
          <w:szCs w:val="18"/>
        </w:rPr>
        <w:t>（5）</w:t>
      </w:r>
      <w:r>
        <w:rPr>
          <w:rFonts w:hint="eastAsia" w:ascii="宋体" w:hAnsi="宋体"/>
          <w:b/>
          <w:sz w:val="18"/>
          <w:szCs w:val="18"/>
        </w:rPr>
        <w:t>产品管理人有权对业绩比较基准进行调整，</w:t>
      </w:r>
      <w:r>
        <w:rPr>
          <w:rFonts w:hint="eastAsia" w:ascii="宋体" w:hAnsi="宋体"/>
          <w:sz w:val="18"/>
          <w:szCs w:val="18"/>
          <w:u w:val="single"/>
        </w:rPr>
        <w:t>最晚于调整日进行信息披露。</w:t>
      </w:r>
    </w:p>
    <w:p>
      <w:pPr>
        <w:ind w:firstLine="360" w:firstLineChars="200"/>
        <w:rPr>
          <w:rFonts w:hint="eastAsia" w:ascii="宋体" w:hAnsi="宋体"/>
          <w:bCs/>
          <w:sz w:val="18"/>
          <w:szCs w:val="18"/>
        </w:rPr>
      </w:pPr>
      <w:r>
        <w:rPr>
          <w:rFonts w:hint="eastAsia" w:ascii="宋体" w:hAnsi="宋体"/>
          <w:bCs/>
          <w:sz w:val="18"/>
          <w:szCs w:val="18"/>
        </w:rPr>
        <w:t>（6）</w:t>
      </w:r>
      <w:r>
        <w:rPr>
          <w:rFonts w:hint="eastAsia" w:ascii="宋体" w:hAnsi="宋体"/>
          <w:b/>
          <w:bCs/>
          <w:sz w:val="18"/>
          <w:szCs w:val="18"/>
        </w:rPr>
        <w:t>产品管理人有权调整产品分红规则，</w:t>
      </w:r>
      <w:r>
        <w:rPr>
          <w:rFonts w:hint="eastAsia" w:ascii="宋体" w:hAnsi="宋体"/>
          <w:sz w:val="18"/>
          <w:szCs w:val="18"/>
          <w:u w:val="single"/>
        </w:rPr>
        <w:t>至少提前</w:t>
      </w:r>
      <w:r>
        <w:rPr>
          <w:rFonts w:ascii="宋体" w:hAnsi="宋体"/>
          <w:sz w:val="18"/>
          <w:szCs w:val="18"/>
          <w:u w:val="single"/>
        </w:rPr>
        <w:t>2个工作日进行信息披露。</w:t>
      </w:r>
    </w:p>
    <w:p>
      <w:pPr>
        <w:ind w:firstLine="360" w:firstLineChars="200"/>
        <w:rPr>
          <w:rFonts w:hint="eastAsia" w:ascii="宋体" w:hAnsi="宋体"/>
          <w:sz w:val="18"/>
          <w:szCs w:val="18"/>
        </w:rPr>
      </w:pPr>
      <w:r>
        <w:rPr>
          <w:rFonts w:hint="eastAsia" w:ascii="宋体" w:hAnsi="宋体"/>
          <w:bCs/>
          <w:sz w:val="18"/>
          <w:szCs w:val="18"/>
        </w:rPr>
        <w:t>（7）</w:t>
      </w:r>
      <w:r>
        <w:rPr>
          <w:rFonts w:hint="eastAsia" w:ascii="宋体" w:hAnsi="宋体"/>
          <w:b/>
          <w:bCs/>
          <w:sz w:val="18"/>
          <w:szCs w:val="18"/>
        </w:rPr>
        <w:t>产品管理人</w:t>
      </w:r>
      <w:r>
        <w:rPr>
          <w:rFonts w:hint="eastAsia" w:ascii="宋体" w:hAnsi="宋体"/>
          <w:b/>
          <w:sz w:val="18"/>
          <w:szCs w:val="18"/>
        </w:rPr>
        <w:t>有权对巨额赎回规则进行调整，</w:t>
      </w:r>
      <w:r>
        <w:rPr>
          <w:rFonts w:hint="eastAsia" w:ascii="宋体" w:hAnsi="宋体"/>
          <w:sz w:val="18"/>
          <w:szCs w:val="18"/>
          <w:u w:val="single"/>
        </w:rPr>
        <w:t>至少提前</w:t>
      </w:r>
      <w:r>
        <w:rPr>
          <w:rFonts w:ascii="宋体" w:hAnsi="宋体"/>
          <w:sz w:val="18"/>
          <w:szCs w:val="18"/>
          <w:u w:val="single"/>
        </w:rPr>
        <w:t>2个工作日进行信息披露。</w:t>
      </w:r>
    </w:p>
    <w:p>
      <w:pPr>
        <w:ind w:firstLine="360" w:firstLineChars="200"/>
        <w:rPr>
          <w:rFonts w:hint="eastAsia" w:ascii="宋体" w:hAnsi="宋体"/>
          <w:sz w:val="18"/>
          <w:szCs w:val="18"/>
        </w:rPr>
      </w:pPr>
      <w:r>
        <w:rPr>
          <w:rFonts w:hint="eastAsia" w:ascii="宋体" w:hAnsi="宋体"/>
          <w:sz w:val="18"/>
          <w:szCs w:val="18"/>
        </w:rPr>
        <w:t>（8）如本产品在开放日触发巨额赎回，且拒绝或暂停接受触发巨额赎回条款的赎回申请，产品管理人应于该开放日后3个工作日内对巨额赎回相关处理措施进行信息披露。</w:t>
      </w:r>
    </w:p>
    <w:p>
      <w:pPr>
        <w:ind w:firstLine="360" w:firstLineChars="200"/>
        <w:rPr>
          <w:rFonts w:hint="eastAsia" w:ascii="宋体" w:hAnsi="宋体"/>
          <w:sz w:val="18"/>
          <w:szCs w:val="18"/>
        </w:rPr>
      </w:pPr>
      <w:r>
        <w:rPr>
          <w:rFonts w:hint="eastAsia" w:ascii="宋体" w:hAnsi="宋体"/>
          <w:sz w:val="18"/>
          <w:szCs w:val="18"/>
        </w:rPr>
        <w:t>（9）如产品管理人向已经接受赎回申请的投资者延缓支付赎回款项，产品管理人应于该开放日后3个工作日对延缓兑付的相关处理措施进行信息披露。</w:t>
      </w:r>
    </w:p>
    <w:p>
      <w:pPr>
        <w:ind w:firstLine="360" w:firstLineChars="200"/>
        <w:rPr>
          <w:rFonts w:hint="eastAsia" w:ascii="宋体" w:hAnsi="宋体"/>
          <w:sz w:val="18"/>
          <w:szCs w:val="18"/>
        </w:rPr>
      </w:pPr>
      <w:r>
        <w:rPr>
          <w:rFonts w:hint="eastAsia" w:ascii="宋体" w:hAnsi="宋体"/>
          <w:sz w:val="18"/>
          <w:szCs w:val="18"/>
        </w:rPr>
        <w:t>（10）如本产品出现说明书中约定的暂停估值情形时，产品管理人可暂停产品的估值</w:t>
      </w:r>
      <w:r>
        <w:rPr>
          <w:rFonts w:ascii="宋体" w:hAnsi="宋体"/>
          <w:sz w:val="18"/>
          <w:szCs w:val="18"/>
        </w:rPr>
        <w:t>，</w:t>
      </w:r>
      <w:r>
        <w:rPr>
          <w:rFonts w:hint="eastAsia" w:ascii="宋体" w:hAnsi="宋体"/>
          <w:sz w:val="18"/>
          <w:szCs w:val="18"/>
        </w:rPr>
        <w:t>并于3个工作日进行信息披露。</w:t>
      </w:r>
    </w:p>
    <w:p>
      <w:pPr>
        <w:ind w:firstLine="360" w:firstLineChars="200"/>
        <w:rPr>
          <w:rFonts w:hint="eastAsia" w:ascii="宋体" w:hAnsi="宋体"/>
          <w:bCs/>
          <w:sz w:val="18"/>
          <w:szCs w:val="18"/>
        </w:rPr>
      </w:pPr>
      <w:r>
        <w:rPr>
          <w:rFonts w:hint="eastAsia" w:ascii="宋体" w:hAnsi="宋体"/>
          <w:sz w:val="18"/>
          <w:szCs w:val="18"/>
        </w:rPr>
        <w:t>（11）如本产品出现说明书中约定的拒绝/暂停接受投资者认购、申购申请的情形时，产品管理人有权利拒绝/暂停接受投资者认购、申购、追加申购申请，并于3个工作日进行信息披露。</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2）</w:t>
      </w:r>
      <w:r>
        <w:rPr>
          <w:rFonts w:hint="eastAsia" w:ascii="宋体" w:hAnsi="宋体"/>
          <w:b/>
          <w:sz w:val="18"/>
          <w:szCs w:val="18"/>
        </w:rPr>
        <w:t>产品管理人有权对产品风险等级进行调整，</w:t>
      </w:r>
      <w:r>
        <w:rPr>
          <w:rFonts w:hint="eastAsia" w:ascii="宋体" w:hAnsi="宋体"/>
          <w:sz w:val="18"/>
          <w:szCs w:val="18"/>
          <w:u w:val="single"/>
        </w:rPr>
        <w:t>至少提前</w:t>
      </w:r>
      <w:r>
        <w:rPr>
          <w:rFonts w:ascii="宋体" w:hAnsi="宋体"/>
          <w:sz w:val="18"/>
          <w:szCs w:val="18"/>
          <w:u w:val="single"/>
        </w:rPr>
        <w:t>2个工作日进行信息披露。</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3）</w:t>
      </w:r>
      <w:r>
        <w:rPr>
          <w:rFonts w:hint="eastAsia" w:ascii="宋体" w:hAnsi="宋体"/>
          <w:b/>
          <w:sz w:val="18"/>
          <w:szCs w:val="18"/>
        </w:rPr>
        <w:t>产品管理人有权对产品申购赎回安排进行调整，</w:t>
      </w:r>
      <w:r>
        <w:rPr>
          <w:rFonts w:hint="eastAsia" w:ascii="宋体" w:hAnsi="宋体"/>
          <w:sz w:val="18"/>
          <w:szCs w:val="18"/>
          <w:u w:val="single"/>
        </w:rPr>
        <w:t>至少提前</w:t>
      </w:r>
      <w:r>
        <w:rPr>
          <w:rFonts w:ascii="宋体" w:hAnsi="宋体"/>
          <w:sz w:val="18"/>
          <w:szCs w:val="18"/>
          <w:u w:val="single"/>
        </w:rPr>
        <w:t>2个工作日进行信息披露。</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4）</w:t>
      </w:r>
      <w:r>
        <w:rPr>
          <w:rFonts w:hint="eastAsia" w:ascii="宋体" w:hAnsi="宋体"/>
          <w:b/>
          <w:sz w:val="18"/>
          <w:szCs w:val="18"/>
        </w:rPr>
        <w:t>产品管理人有权对产品投资策略进行调整，</w:t>
      </w:r>
      <w:r>
        <w:rPr>
          <w:rFonts w:hint="eastAsia" w:ascii="宋体" w:hAnsi="宋体"/>
          <w:sz w:val="18"/>
          <w:szCs w:val="18"/>
        </w:rPr>
        <w:t>并最晚于调整日进行信息披露。</w:t>
      </w:r>
    </w:p>
    <w:p>
      <w:pPr>
        <w:ind w:firstLine="361" w:firstLineChars="200"/>
        <w:rPr>
          <w:rFonts w:hint="eastAsia" w:ascii="宋体" w:hAnsi="宋体"/>
          <w:b/>
          <w:sz w:val="18"/>
          <w:szCs w:val="18"/>
        </w:rPr>
      </w:pPr>
      <w:r>
        <w:rPr>
          <w:rFonts w:hint="eastAsia" w:ascii="宋体" w:hAnsi="宋体"/>
          <w:b/>
          <w:sz w:val="18"/>
          <w:szCs w:val="18"/>
        </w:rPr>
        <w:t>5.产品重大事项公告</w:t>
      </w:r>
    </w:p>
    <w:p>
      <w:pPr>
        <w:ind w:firstLine="360" w:firstLineChars="200"/>
        <w:rPr>
          <w:rFonts w:hint="eastAsia" w:ascii="宋体" w:hAnsi="宋体"/>
          <w:sz w:val="18"/>
        </w:rPr>
      </w:pPr>
      <w:r>
        <w:rPr>
          <w:rFonts w:hint="eastAsia" w:ascii="宋体" w:hAnsi="宋体"/>
          <w:sz w:val="18"/>
        </w:rPr>
        <w:t>如发生产品管理人判断可能影响产品运作的重大不利事项，或在发生可能对理财产品投资者或理财产品收益产生重大影响的事件后2个工作日内发布重大事项公告。</w:t>
      </w:r>
    </w:p>
    <w:p>
      <w:pPr>
        <w:ind w:firstLine="361" w:firstLineChars="200"/>
        <w:rPr>
          <w:rFonts w:hint="eastAsia" w:ascii="宋体" w:hAnsi="宋体"/>
          <w:b/>
          <w:sz w:val="18"/>
          <w:szCs w:val="18"/>
        </w:rPr>
      </w:pPr>
      <w:r>
        <w:rPr>
          <w:rFonts w:hint="eastAsia" w:ascii="宋体" w:hAnsi="宋体"/>
          <w:b/>
          <w:sz w:val="18"/>
          <w:szCs w:val="18"/>
        </w:rPr>
        <w:t>6.产品终止信息披露</w:t>
      </w:r>
    </w:p>
    <w:p>
      <w:pPr>
        <w:ind w:firstLine="360" w:firstLineChars="200"/>
        <w:rPr>
          <w:rFonts w:hint="eastAsia" w:ascii="宋体" w:hAnsi="宋体"/>
          <w:sz w:val="18"/>
          <w:szCs w:val="18"/>
        </w:rPr>
      </w:pPr>
      <w:r>
        <w:rPr>
          <w:rFonts w:hint="eastAsia" w:ascii="宋体" w:hAnsi="宋体"/>
          <w:sz w:val="18"/>
          <w:szCs w:val="18"/>
        </w:rPr>
        <w:t>（1）</w:t>
      </w:r>
      <w:r>
        <w:rPr>
          <w:rFonts w:hint="eastAsia" w:ascii="宋体" w:hAnsi="宋体"/>
          <w:b/>
          <w:sz w:val="18"/>
          <w:szCs w:val="18"/>
        </w:rPr>
        <w:t>产品管理人提前终止本产品时，</w:t>
      </w:r>
      <w:r>
        <w:rPr>
          <w:rFonts w:hint="eastAsia" w:ascii="宋体" w:hAnsi="宋体"/>
          <w:sz w:val="18"/>
          <w:szCs w:val="18"/>
          <w:u w:val="single"/>
        </w:rPr>
        <w:t>最晚于产品提前终止日对产品提前终止进行信息披露。</w:t>
      </w:r>
    </w:p>
    <w:p>
      <w:pPr>
        <w:ind w:firstLine="360" w:firstLineChars="200"/>
        <w:rPr>
          <w:rFonts w:hint="eastAsia"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）在产品提前终止日后的5个工作日内发布产品终止公告。</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）若理财产品所投资资产不能全部变现，产品管理人在终止日后</w:t>
      </w:r>
      <w:r>
        <w:rPr>
          <w:rFonts w:ascii="宋体" w:hAnsi="宋体"/>
          <w:sz w:val="18"/>
          <w:szCs w:val="18"/>
        </w:rPr>
        <w:t>2个工作日</w:t>
      </w:r>
      <w:r>
        <w:rPr>
          <w:rFonts w:hint="eastAsia" w:ascii="宋体" w:hAnsi="宋体"/>
          <w:sz w:val="18"/>
          <w:szCs w:val="18"/>
        </w:rPr>
        <w:t>内对资产不能变现的情况进行信息披露。</w:t>
      </w:r>
    </w:p>
    <w:p>
      <w:pPr>
        <w:ind w:firstLine="360" w:firstLineChars="200"/>
        <w:rPr>
          <w:rFonts w:hint="eastAsia"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）本产品清算期超过5个工作日的，产品管理人应于产品终止日前向投资者进行信息披露。</w:t>
      </w:r>
    </w:p>
    <w:p>
      <w:pPr>
        <w:ind w:firstLine="361" w:firstLineChars="200"/>
        <w:rPr>
          <w:rStyle w:val="14"/>
          <w:rFonts w:hint="eastAsia" w:ascii="宋体" w:hAnsi="宋体"/>
          <w:sz w:val="18"/>
          <w:szCs w:val="18"/>
        </w:rPr>
      </w:pPr>
      <w:r>
        <w:rPr>
          <w:rStyle w:val="14"/>
          <w:rFonts w:hint="eastAsia" w:ascii="宋体" w:hAnsi="宋体"/>
          <w:sz w:val="18"/>
          <w:szCs w:val="18"/>
        </w:rPr>
        <w:t>（二）如出于维持产品正常运营的需要且在不实质损害投资者利益的前提下，或因国家法律法规、监管规定发生变化，产品管理人有权在法律法规、监管规定允许的范围内单方对风险揭示书和说明书进行修订。产品管理人决定对风险揭示书和说明书进行修订的，将按照理财产品销售文件有关约定或法律规定进行信息披露，修订后的风险揭示书和说明书对投资者、产品管理人均具有约束力。</w:t>
      </w:r>
    </w:p>
    <w:p>
      <w:pPr>
        <w:ind w:firstLine="361" w:firstLineChars="200"/>
        <w:rPr>
          <w:rFonts w:hint="eastAsia" w:ascii="宋体" w:hAnsi="宋体"/>
          <w:b/>
          <w:sz w:val="18"/>
          <w:szCs w:val="18"/>
        </w:rPr>
      </w:pPr>
      <w:r>
        <w:rPr>
          <w:rFonts w:hint="eastAsia" w:ascii="宋体" w:hAnsi="宋体"/>
          <w:b/>
          <w:bCs/>
          <w:sz w:val="18"/>
          <w:szCs w:val="18"/>
        </w:rPr>
        <w:t>如有对于投资者利益产生实质影响的事项（如投资比例进行调整、运作方式调整、增加费用项目、提高收费标准等），</w:t>
      </w:r>
      <w:r>
        <w:rPr>
          <w:rFonts w:hint="eastAsia" w:ascii="宋体" w:hAnsi="宋体"/>
          <w:b/>
          <w:sz w:val="18"/>
          <w:szCs w:val="18"/>
        </w:rPr>
        <w:t>产品管理人至少提前2个工作日进行信息披露</w:t>
      </w:r>
      <w:r>
        <w:rPr>
          <w:rFonts w:ascii="宋体" w:hAnsi="宋体"/>
          <w:b/>
          <w:sz w:val="18"/>
          <w:szCs w:val="18"/>
        </w:rPr>
        <w:t>。如投资者不接受的，可在信息披露生效前赎回本产品，此种情况下产品管理人将可能开放特殊赎回期间，具体以产品管理人信息披露为准</w:t>
      </w:r>
      <w:r>
        <w:rPr>
          <w:rFonts w:hint="eastAsia" w:ascii="宋体" w:hAnsi="宋体"/>
          <w:b/>
          <w:sz w:val="18"/>
          <w:szCs w:val="18"/>
        </w:rPr>
        <w:t>。逾期未赎回的视为投资者同意相关调整并继续持有本产品。</w:t>
      </w:r>
    </w:p>
    <w:p>
      <w:pPr>
        <w:ind w:firstLine="402"/>
        <w:rPr>
          <w:rFonts w:hint="eastAsia" w:ascii="宋体" w:hAnsi="宋体"/>
          <w:b/>
          <w:sz w:val="18"/>
          <w:szCs w:val="18"/>
        </w:rPr>
      </w:pPr>
      <w:r>
        <w:rPr>
          <w:rFonts w:hint="eastAsia" w:ascii="宋体" w:hAnsi="宋体"/>
          <w:b/>
          <w:sz w:val="18"/>
          <w:szCs w:val="18"/>
        </w:rPr>
        <w:t>产品管理人有权对本产品风险揭示书和说明书条款进行补充、说明和修改，并至少提前2个工作日通过</w:t>
      </w:r>
      <w:r>
        <w:fldChar w:fldCharType="begin"/>
      </w:r>
      <w:r>
        <w:instrText xml:space="preserve"> HYPERLINK </w:instrText>
      </w:r>
      <w:r>
        <w:fldChar w:fldCharType="separate"/>
      </w:r>
      <w:r>
        <w:fldChar w:fldCharType="end"/>
      </w:r>
      <w:r>
        <w:rPr>
          <w:rFonts w:hint="eastAsia" w:ascii="宋体" w:hAnsi="宋体"/>
          <w:b/>
          <w:sz w:val="18"/>
          <w:szCs w:val="18"/>
        </w:rPr>
        <w:t>上述渠道进行信息披露。</w:t>
      </w:r>
    </w:p>
    <w:p>
      <w:pPr>
        <w:ind w:firstLine="402"/>
        <w:rPr>
          <w:rFonts w:hint="eastAsia" w:ascii="宋体" w:hAnsi="宋体"/>
          <w:b/>
          <w:sz w:val="18"/>
          <w:szCs w:val="18"/>
        </w:rPr>
      </w:pPr>
      <w:r>
        <w:rPr>
          <w:rStyle w:val="14"/>
          <w:rFonts w:hint="eastAsia" w:ascii="宋体" w:hAnsi="宋体"/>
          <w:sz w:val="18"/>
          <w:szCs w:val="18"/>
        </w:rPr>
        <w:t>（三）投资者同意，产品管理人通过上述渠道进行信息披露，如果投资者未及时查询，或由于其他不可抗力等因素的影响使得投资者无法及时了解产品信息，因此而产生的（包括但不限于因未及时获知信息而错过资金使用和再投资的机会等）全部责任和风险，由投资者自行承担。</w:t>
      </w:r>
    </w:p>
    <w:p>
      <w:pPr>
        <w:ind w:firstLine="402"/>
        <w:rPr>
          <w:rFonts w:hint="eastAsia" w:ascii="宋体" w:hAnsi="宋体"/>
          <w:b/>
          <w:sz w:val="18"/>
          <w:szCs w:val="18"/>
        </w:rPr>
      </w:pPr>
      <w:r>
        <w:rPr>
          <w:rFonts w:hint="eastAsia" w:ascii="宋体" w:hAnsi="宋体"/>
          <w:b/>
          <w:sz w:val="18"/>
          <w:szCs w:val="18"/>
        </w:rPr>
        <w:t>（四）产品管理人为投资者提供本产品相关账单信息。本产品存续期间，投资者可登录本人手机银行查询。</w:t>
      </w:r>
    </w:p>
    <w:p>
      <w:pPr>
        <w:ind w:firstLine="402"/>
        <w:rPr>
          <w:rFonts w:hint="eastAsia" w:ascii="宋体" w:hAnsi="宋体"/>
          <w:b/>
          <w:sz w:val="18"/>
          <w:szCs w:val="18"/>
        </w:rPr>
      </w:pPr>
    </w:p>
    <w:p>
      <w:pPr>
        <w:ind w:firstLine="361" w:firstLineChars="200"/>
        <w:outlineLvl w:val="0"/>
        <w:rPr>
          <w:rFonts w:hint="eastAsia" w:ascii="宋体" w:hAnsi="宋体"/>
          <w:b/>
          <w:bCs/>
          <w:sz w:val="18"/>
          <w:szCs w:val="18"/>
        </w:rPr>
      </w:pPr>
      <w:r>
        <w:rPr>
          <w:rFonts w:hint="eastAsia" w:ascii="宋体" w:hAnsi="宋体"/>
          <w:b/>
          <w:bCs/>
          <w:sz w:val="18"/>
          <w:szCs w:val="18"/>
        </w:rPr>
        <w:t>九、特别提示</w:t>
      </w:r>
    </w:p>
    <w:p>
      <w:pPr>
        <w:ind w:firstLine="400"/>
        <w:rPr>
          <w:rFonts w:hint="eastAsia" w:ascii="宋体" w:hAnsi="宋体"/>
          <w:sz w:val="18"/>
          <w:szCs w:val="18"/>
        </w:rPr>
      </w:pPr>
      <w:r>
        <w:rPr>
          <w:rFonts w:hint="eastAsia" w:ascii="宋体" w:hAnsi="宋体"/>
          <w:sz w:val="18"/>
          <w:szCs w:val="18"/>
        </w:rPr>
        <w:t>根据《商业银行理财业务监督管理办法》第九条，“商业银行应当根据投资性质的不同，将理财产品分为固定收益类理财产品、权益类理财产品、商品及金融衍生品类理财产品和混合类理财产品。固定收益类理财产品投资于存款、债券等债权类资产的比例不低于</w:t>
      </w:r>
      <w:r>
        <w:rPr>
          <w:rFonts w:ascii="宋体" w:hAnsi="宋体"/>
          <w:sz w:val="18"/>
          <w:szCs w:val="18"/>
        </w:rPr>
        <w:t>80%；权益类理财产品投资于权益类资产的比例</w:t>
      </w:r>
      <w:r>
        <w:rPr>
          <w:rFonts w:hint="eastAsia" w:ascii="宋体" w:hAnsi="宋体"/>
          <w:sz w:val="18"/>
          <w:szCs w:val="18"/>
        </w:rPr>
        <w:t>不低于</w:t>
      </w:r>
      <w:r>
        <w:rPr>
          <w:rFonts w:ascii="宋体" w:hAnsi="宋体"/>
          <w:sz w:val="18"/>
          <w:szCs w:val="18"/>
        </w:rPr>
        <w:t>80%；商品及金融衍生品类理财产品投资于商品及金融衍生品的比例不低于80%；混合类理财产品投资于债权类资产、权益类资产、商品及金融衍生品类资产且任一资产的投资比例未达到前三类理财产品标准。”</w:t>
      </w:r>
      <w:r>
        <w:rPr>
          <w:rFonts w:hint="eastAsia" w:ascii="宋体" w:hAnsi="宋体"/>
          <w:b/>
          <w:sz w:val="18"/>
          <w:szCs w:val="18"/>
        </w:rPr>
        <w:t>据此，本产品为固定收益类理财产品。</w:t>
      </w:r>
    </w:p>
    <w:p>
      <w:pPr>
        <w:ind w:firstLine="402"/>
        <w:rPr>
          <w:rFonts w:hint="eastAsia" w:ascii="宋体" w:hAnsi="宋体" w:cs="宋体"/>
          <w:b/>
          <w:bCs/>
          <w:kern w:val="0"/>
          <w:sz w:val="18"/>
          <w:szCs w:val="18"/>
        </w:rPr>
      </w:pPr>
      <w:r>
        <w:rPr>
          <w:rFonts w:hint="eastAsia" w:ascii="宋体" w:hAnsi="宋体" w:cs="宋体"/>
          <w:b/>
          <w:bCs/>
          <w:kern w:val="0"/>
          <w:sz w:val="18"/>
          <w:szCs w:val="18"/>
        </w:rPr>
        <w:t>本产品业绩比较基准不是预期收益率，仅供投资者参考，并不作为产品管理人向投资者支付本产品收益的承诺；投资者所能获得的最终收益以产品管理人的实际支付为准。</w:t>
      </w:r>
    </w:p>
    <w:p>
      <w:pPr>
        <w:ind w:firstLine="402"/>
        <w:rPr>
          <w:rFonts w:hint="eastAsia" w:ascii="宋体" w:hAnsi="宋体" w:cs="宋体"/>
          <w:b/>
          <w:bCs/>
          <w:kern w:val="0"/>
          <w:sz w:val="18"/>
          <w:szCs w:val="18"/>
        </w:rPr>
      </w:pPr>
      <w:r>
        <w:rPr>
          <w:rFonts w:hint="eastAsia" w:ascii="宋体" w:hAnsi="宋体" w:cs="宋体"/>
          <w:b/>
          <w:bCs/>
          <w:kern w:val="0"/>
          <w:sz w:val="18"/>
          <w:szCs w:val="18"/>
        </w:rPr>
        <w:t>投资者在投资前，请仔细阅读本产品说明书，并做出独立的投资决策。</w:t>
      </w:r>
    </w:p>
    <w:p>
      <w:pPr>
        <w:ind w:firstLine="402"/>
        <w:rPr>
          <w:rFonts w:hint="eastAsia" w:ascii="宋体" w:hAnsi="宋体" w:cs="宋体"/>
          <w:b/>
          <w:kern w:val="0"/>
          <w:sz w:val="18"/>
          <w:szCs w:val="18"/>
        </w:rPr>
      </w:pPr>
      <w:r>
        <w:rPr>
          <w:rFonts w:hint="eastAsia" w:ascii="宋体" w:hAnsi="宋体" w:cs="宋体"/>
          <w:b/>
          <w:kern w:val="0"/>
          <w:sz w:val="18"/>
          <w:szCs w:val="18"/>
        </w:rPr>
        <w:t>产品管理人将恪守勤勉尽责的原则，合理配置资产组合，为投资者提供专业化的理财服务。</w:t>
      </w:r>
    </w:p>
    <w:p>
      <w:pPr>
        <w:ind w:firstLine="402"/>
        <w:rPr>
          <w:rFonts w:hint="eastAsia" w:ascii="宋体" w:hAnsi="宋体" w:cs="宋体"/>
          <w:kern w:val="0"/>
          <w:sz w:val="18"/>
          <w:szCs w:val="18"/>
        </w:rPr>
      </w:pPr>
      <w:r>
        <w:rPr>
          <w:rFonts w:hint="eastAsia" w:ascii="宋体" w:hAnsi="宋体" w:cs="宋体"/>
          <w:b/>
          <w:kern w:val="0"/>
          <w:sz w:val="18"/>
          <w:szCs w:val="18"/>
        </w:rPr>
        <w:t>投资者通过购买渠道提交认购/申购申请，即视为投资者授权及同意建信理财有限责任公司作为本产品的管理人，代表理财产品的投资者将募集资金进行投资和执行相关操作，并且有权代表投资者行使基础资产交易项下与其他交易各方进行交易所享有的全部权利。当理财产品的资产安全受到侵害时或发生本理财产品基础资产项下义务人未按时足额付款等情形，有权以自身名义代表理财产品全体投资者采取诉讼或其他权利救济措施；有权代表参加会议，对相关事项进行表决；有权代表理财产品投资者利益，按照法律法规和监管部门相关规定对理财产品投资产生的风险资产进行多种方式的处置，包括但不限于转让、重组、债转股、资产证券化、委外催收、抵债资产收取与处置、破产重整等。</w:t>
      </w:r>
    </w:p>
    <w:p>
      <w:pPr>
        <w:ind w:firstLine="400"/>
        <w:rPr>
          <w:rFonts w:hint="eastAsia" w:ascii="宋体" w:hAnsi="宋体"/>
          <w:kern w:val="0"/>
          <w:sz w:val="18"/>
          <w:szCs w:val="18"/>
        </w:rPr>
      </w:pPr>
      <w:r>
        <w:rPr>
          <w:rFonts w:hint="eastAsia" w:ascii="宋体" w:hAnsi="宋体"/>
          <w:kern w:val="0"/>
          <w:sz w:val="18"/>
          <w:szCs w:val="18"/>
        </w:rPr>
        <w:t>产品管理人</w:t>
      </w:r>
      <w:r>
        <w:rPr>
          <w:rFonts w:ascii="宋体" w:hAnsi="宋体"/>
          <w:kern w:val="0"/>
          <w:sz w:val="18"/>
          <w:szCs w:val="18"/>
        </w:rPr>
        <w:t>应</w:t>
      </w:r>
      <w:r>
        <w:rPr>
          <w:rFonts w:hint="eastAsia" w:ascii="宋体" w:hAnsi="宋体"/>
          <w:kern w:val="0"/>
          <w:sz w:val="18"/>
          <w:szCs w:val="18"/>
        </w:rPr>
        <w:t>就理财产品销售过程中获知的投资者信息承担保密义务，非经投资者事先许可，不得向第三方披露。</w:t>
      </w:r>
      <w:r>
        <w:rPr>
          <w:rFonts w:hint="eastAsia" w:ascii="宋体" w:hAnsi="宋体"/>
          <w:b/>
          <w:kern w:val="0"/>
          <w:sz w:val="18"/>
          <w:szCs w:val="18"/>
        </w:rPr>
        <w:t>若法律法规或监管规定另有要求，投资者在此同意并授权，产品管理人可根据法律法规、监管规定或者监管要求，为理财产品登记、反逃税、反洗钱及反恐怖融资工作等需要，从代销机构获知投资者身份信息并向登记部门或监管机构提供投资者相关信息。若本产品投资的公募基金、</w:t>
      </w:r>
      <w:r>
        <w:rPr>
          <w:rFonts w:hint="eastAsia" w:ascii="宋体" w:hAnsi="宋体"/>
          <w:b/>
          <w:sz w:val="18"/>
          <w:szCs w:val="18"/>
        </w:rPr>
        <w:t>资产管理计划、信托计划的管理人、受托人基于</w:t>
      </w:r>
      <w:r>
        <w:rPr>
          <w:rFonts w:hint="eastAsia" w:ascii="宋体" w:hAnsi="宋体"/>
          <w:b/>
          <w:kern w:val="0"/>
          <w:sz w:val="18"/>
          <w:szCs w:val="18"/>
        </w:rPr>
        <w:t>法律法规或监管规定的</w:t>
      </w:r>
      <w:r>
        <w:rPr>
          <w:rFonts w:hint="eastAsia" w:ascii="宋体" w:hAnsi="宋体"/>
          <w:b/>
          <w:sz w:val="18"/>
          <w:szCs w:val="18"/>
        </w:rPr>
        <w:t>反逃税、反洗钱及反恐怖融资工作需要，要求产品管理人提供理财产品投资者相关信息的，</w:t>
      </w:r>
      <w:r>
        <w:rPr>
          <w:rFonts w:hint="eastAsia" w:ascii="宋体" w:hAnsi="宋体"/>
          <w:b/>
          <w:kern w:val="0"/>
          <w:sz w:val="18"/>
          <w:szCs w:val="18"/>
        </w:rPr>
        <w:t>投资者在此同意并授权，产品管理人可以提供相关信息。</w:t>
      </w:r>
    </w:p>
    <w:p>
      <w:pPr>
        <w:ind w:firstLine="400"/>
        <w:rPr>
          <w:rFonts w:hint="eastAsia" w:ascii="宋体" w:hAnsi="宋体"/>
          <w:kern w:val="0"/>
          <w:sz w:val="18"/>
          <w:szCs w:val="18"/>
        </w:rPr>
      </w:pPr>
      <w:r>
        <w:rPr>
          <w:rFonts w:hint="eastAsia" w:ascii="宋体" w:hAnsi="宋体"/>
          <w:kern w:val="0"/>
          <w:sz w:val="18"/>
          <w:szCs w:val="18"/>
        </w:rPr>
        <w:t>投资者应密切关注产品管理人与本产品有关的信息披露，以免造成不必要的损失。</w:t>
      </w:r>
    </w:p>
    <w:p>
      <w:pPr>
        <w:ind w:right="39" w:firstLine="376" w:firstLineChars="200"/>
        <w:rPr>
          <w:rFonts w:hint="eastAsia" w:ascii="宋体" w:hAnsi="宋体" w:cs="仿宋"/>
          <w:spacing w:val="4"/>
          <w:sz w:val="18"/>
          <w:szCs w:val="18"/>
        </w:rPr>
      </w:pPr>
    </w:p>
    <w:p>
      <w:pPr>
        <w:ind w:right="39" w:firstLine="376" w:firstLineChars="200"/>
        <w:rPr>
          <w:rFonts w:hint="eastAsia" w:ascii="宋体" w:hAnsi="宋体" w:cs="仿宋"/>
          <w:spacing w:val="4"/>
          <w:sz w:val="18"/>
          <w:szCs w:val="1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114300" distR="114300">
          <wp:extent cx="228600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28600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559097"/>
    <w:multiLevelType w:val="singleLevel"/>
    <w:tmpl w:val="F955909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ZmQzYzU2MWU4OTg1ZjQ0MjVmZjgxZjk0YTljMmYifQ=="/>
  </w:docVars>
  <w:rsids>
    <w:rsidRoot w:val="00211E78"/>
    <w:rsid w:val="000078DA"/>
    <w:rsid w:val="00010AE6"/>
    <w:rsid w:val="00010FEB"/>
    <w:rsid w:val="000110F3"/>
    <w:rsid w:val="00013590"/>
    <w:rsid w:val="000141B9"/>
    <w:rsid w:val="000143AA"/>
    <w:rsid w:val="000144EB"/>
    <w:rsid w:val="00015731"/>
    <w:rsid w:val="000165BF"/>
    <w:rsid w:val="00020468"/>
    <w:rsid w:val="00020920"/>
    <w:rsid w:val="00022545"/>
    <w:rsid w:val="00022785"/>
    <w:rsid w:val="00022CDF"/>
    <w:rsid w:val="000235E9"/>
    <w:rsid w:val="00024553"/>
    <w:rsid w:val="00030A7B"/>
    <w:rsid w:val="000329BE"/>
    <w:rsid w:val="0003359B"/>
    <w:rsid w:val="00033873"/>
    <w:rsid w:val="00036FA4"/>
    <w:rsid w:val="000377B7"/>
    <w:rsid w:val="000415ED"/>
    <w:rsid w:val="00043248"/>
    <w:rsid w:val="00050357"/>
    <w:rsid w:val="00050F6B"/>
    <w:rsid w:val="000517DC"/>
    <w:rsid w:val="00052708"/>
    <w:rsid w:val="000554AF"/>
    <w:rsid w:val="000567D1"/>
    <w:rsid w:val="000569E1"/>
    <w:rsid w:val="000616B9"/>
    <w:rsid w:val="00061C90"/>
    <w:rsid w:val="0006226F"/>
    <w:rsid w:val="00064011"/>
    <w:rsid w:val="00064EA4"/>
    <w:rsid w:val="000652FD"/>
    <w:rsid w:val="00066E03"/>
    <w:rsid w:val="00066F3A"/>
    <w:rsid w:val="00067724"/>
    <w:rsid w:val="00071368"/>
    <w:rsid w:val="00072FED"/>
    <w:rsid w:val="00073EFD"/>
    <w:rsid w:val="00074B46"/>
    <w:rsid w:val="00075933"/>
    <w:rsid w:val="00076E62"/>
    <w:rsid w:val="00080263"/>
    <w:rsid w:val="000805E7"/>
    <w:rsid w:val="00080DA2"/>
    <w:rsid w:val="00081B93"/>
    <w:rsid w:val="00082F55"/>
    <w:rsid w:val="000854C5"/>
    <w:rsid w:val="00086FD7"/>
    <w:rsid w:val="0009066F"/>
    <w:rsid w:val="00093C4A"/>
    <w:rsid w:val="00095D3B"/>
    <w:rsid w:val="00096BCD"/>
    <w:rsid w:val="0009710A"/>
    <w:rsid w:val="00097EDF"/>
    <w:rsid w:val="000A0159"/>
    <w:rsid w:val="000A1502"/>
    <w:rsid w:val="000A4137"/>
    <w:rsid w:val="000A470B"/>
    <w:rsid w:val="000A5630"/>
    <w:rsid w:val="000A7B7B"/>
    <w:rsid w:val="000B24E7"/>
    <w:rsid w:val="000B35C3"/>
    <w:rsid w:val="000B3AE0"/>
    <w:rsid w:val="000B41A7"/>
    <w:rsid w:val="000B4673"/>
    <w:rsid w:val="000B69D2"/>
    <w:rsid w:val="000C1861"/>
    <w:rsid w:val="000C494C"/>
    <w:rsid w:val="000C761D"/>
    <w:rsid w:val="000D05E8"/>
    <w:rsid w:val="000D4FE8"/>
    <w:rsid w:val="000D6F0E"/>
    <w:rsid w:val="000E101A"/>
    <w:rsid w:val="000E2358"/>
    <w:rsid w:val="000E28AE"/>
    <w:rsid w:val="000E3147"/>
    <w:rsid w:val="000E3299"/>
    <w:rsid w:val="000E62C0"/>
    <w:rsid w:val="000F0C0E"/>
    <w:rsid w:val="000F13FD"/>
    <w:rsid w:val="000F1F8C"/>
    <w:rsid w:val="000F2753"/>
    <w:rsid w:val="000F37F3"/>
    <w:rsid w:val="000F429F"/>
    <w:rsid w:val="000F4CEC"/>
    <w:rsid w:val="000F5629"/>
    <w:rsid w:val="000F7909"/>
    <w:rsid w:val="0010119B"/>
    <w:rsid w:val="001026CB"/>
    <w:rsid w:val="00110718"/>
    <w:rsid w:val="0011290B"/>
    <w:rsid w:val="0011415F"/>
    <w:rsid w:val="001145CD"/>
    <w:rsid w:val="00115029"/>
    <w:rsid w:val="00115B12"/>
    <w:rsid w:val="00120734"/>
    <w:rsid w:val="00121F35"/>
    <w:rsid w:val="0012502D"/>
    <w:rsid w:val="001252E1"/>
    <w:rsid w:val="00125A1C"/>
    <w:rsid w:val="001266AC"/>
    <w:rsid w:val="00127795"/>
    <w:rsid w:val="00127858"/>
    <w:rsid w:val="00130163"/>
    <w:rsid w:val="00132C9D"/>
    <w:rsid w:val="0013440B"/>
    <w:rsid w:val="00134CBE"/>
    <w:rsid w:val="00136CCA"/>
    <w:rsid w:val="00141898"/>
    <w:rsid w:val="00141C12"/>
    <w:rsid w:val="00143F2B"/>
    <w:rsid w:val="00146305"/>
    <w:rsid w:val="001468A3"/>
    <w:rsid w:val="00147262"/>
    <w:rsid w:val="00147F19"/>
    <w:rsid w:val="001515AB"/>
    <w:rsid w:val="00151E4B"/>
    <w:rsid w:val="00153134"/>
    <w:rsid w:val="0015318B"/>
    <w:rsid w:val="0015445F"/>
    <w:rsid w:val="001557B0"/>
    <w:rsid w:val="00157E2A"/>
    <w:rsid w:val="001601C0"/>
    <w:rsid w:val="00160CFA"/>
    <w:rsid w:val="001629DF"/>
    <w:rsid w:val="00162D34"/>
    <w:rsid w:val="00163F37"/>
    <w:rsid w:val="0016437E"/>
    <w:rsid w:val="0016467B"/>
    <w:rsid w:val="00164C89"/>
    <w:rsid w:val="00166351"/>
    <w:rsid w:val="00172C8D"/>
    <w:rsid w:val="0017382E"/>
    <w:rsid w:val="001746E4"/>
    <w:rsid w:val="00175A3A"/>
    <w:rsid w:val="00175D79"/>
    <w:rsid w:val="00176BCE"/>
    <w:rsid w:val="00180B65"/>
    <w:rsid w:val="00187694"/>
    <w:rsid w:val="00187FF6"/>
    <w:rsid w:val="001936DC"/>
    <w:rsid w:val="00194C53"/>
    <w:rsid w:val="00194EBE"/>
    <w:rsid w:val="001965A9"/>
    <w:rsid w:val="001A04B9"/>
    <w:rsid w:val="001A0FF3"/>
    <w:rsid w:val="001A133E"/>
    <w:rsid w:val="001A2120"/>
    <w:rsid w:val="001A29A7"/>
    <w:rsid w:val="001A31CA"/>
    <w:rsid w:val="001A33EC"/>
    <w:rsid w:val="001A3758"/>
    <w:rsid w:val="001A378E"/>
    <w:rsid w:val="001A3C3F"/>
    <w:rsid w:val="001A6D68"/>
    <w:rsid w:val="001B2E4F"/>
    <w:rsid w:val="001B30A8"/>
    <w:rsid w:val="001B45BA"/>
    <w:rsid w:val="001B5843"/>
    <w:rsid w:val="001B65BC"/>
    <w:rsid w:val="001C0C51"/>
    <w:rsid w:val="001C0ECF"/>
    <w:rsid w:val="001C1CBC"/>
    <w:rsid w:val="001D2165"/>
    <w:rsid w:val="001D638A"/>
    <w:rsid w:val="001D6D7E"/>
    <w:rsid w:val="001E5BA4"/>
    <w:rsid w:val="001E633A"/>
    <w:rsid w:val="001F0E0D"/>
    <w:rsid w:val="001F27E1"/>
    <w:rsid w:val="001F4144"/>
    <w:rsid w:val="001F67C6"/>
    <w:rsid w:val="001F76B3"/>
    <w:rsid w:val="00200145"/>
    <w:rsid w:val="00200576"/>
    <w:rsid w:val="0020142B"/>
    <w:rsid w:val="00201AFA"/>
    <w:rsid w:val="00202395"/>
    <w:rsid w:val="00202744"/>
    <w:rsid w:val="00202EFD"/>
    <w:rsid w:val="00204913"/>
    <w:rsid w:val="00204E9A"/>
    <w:rsid w:val="0020513F"/>
    <w:rsid w:val="00205981"/>
    <w:rsid w:val="00205A3E"/>
    <w:rsid w:val="002065A8"/>
    <w:rsid w:val="002076AD"/>
    <w:rsid w:val="0021168C"/>
    <w:rsid w:val="00211E78"/>
    <w:rsid w:val="00211EF4"/>
    <w:rsid w:val="00211F89"/>
    <w:rsid w:val="0021301C"/>
    <w:rsid w:val="00214BA6"/>
    <w:rsid w:val="002153EA"/>
    <w:rsid w:val="002213ED"/>
    <w:rsid w:val="002223F4"/>
    <w:rsid w:val="00224438"/>
    <w:rsid w:val="00224FD3"/>
    <w:rsid w:val="00225F99"/>
    <w:rsid w:val="00226F11"/>
    <w:rsid w:val="00227544"/>
    <w:rsid w:val="00230ECD"/>
    <w:rsid w:val="00231389"/>
    <w:rsid w:val="002329B1"/>
    <w:rsid w:val="002336CE"/>
    <w:rsid w:val="00235B94"/>
    <w:rsid w:val="00242058"/>
    <w:rsid w:val="002437BE"/>
    <w:rsid w:val="00244593"/>
    <w:rsid w:val="00246294"/>
    <w:rsid w:val="002475F3"/>
    <w:rsid w:val="0024764F"/>
    <w:rsid w:val="002502F7"/>
    <w:rsid w:val="00250896"/>
    <w:rsid w:val="00254DF8"/>
    <w:rsid w:val="002551D4"/>
    <w:rsid w:val="002555CA"/>
    <w:rsid w:val="00255EC6"/>
    <w:rsid w:val="00256A2D"/>
    <w:rsid w:val="0025779B"/>
    <w:rsid w:val="00260116"/>
    <w:rsid w:val="002611E9"/>
    <w:rsid w:val="002636DC"/>
    <w:rsid w:val="00263B37"/>
    <w:rsid w:val="002659E1"/>
    <w:rsid w:val="0026635C"/>
    <w:rsid w:val="00267E77"/>
    <w:rsid w:val="00270594"/>
    <w:rsid w:val="00272914"/>
    <w:rsid w:val="0027390B"/>
    <w:rsid w:val="00275548"/>
    <w:rsid w:val="00275F06"/>
    <w:rsid w:val="00277D5E"/>
    <w:rsid w:val="002809C0"/>
    <w:rsid w:val="00282657"/>
    <w:rsid w:val="00284CEE"/>
    <w:rsid w:val="00284ED4"/>
    <w:rsid w:val="002862AF"/>
    <w:rsid w:val="00286C4B"/>
    <w:rsid w:val="002871C9"/>
    <w:rsid w:val="0029078F"/>
    <w:rsid w:val="00291646"/>
    <w:rsid w:val="00292960"/>
    <w:rsid w:val="00293C06"/>
    <w:rsid w:val="00294D4B"/>
    <w:rsid w:val="00295249"/>
    <w:rsid w:val="002968A0"/>
    <w:rsid w:val="00297764"/>
    <w:rsid w:val="002A15E4"/>
    <w:rsid w:val="002A2275"/>
    <w:rsid w:val="002A4145"/>
    <w:rsid w:val="002A4DEB"/>
    <w:rsid w:val="002A50F7"/>
    <w:rsid w:val="002A51AF"/>
    <w:rsid w:val="002A67BD"/>
    <w:rsid w:val="002B0913"/>
    <w:rsid w:val="002B1838"/>
    <w:rsid w:val="002B2E8F"/>
    <w:rsid w:val="002B4AFA"/>
    <w:rsid w:val="002B63CC"/>
    <w:rsid w:val="002B6EE1"/>
    <w:rsid w:val="002B7729"/>
    <w:rsid w:val="002B791F"/>
    <w:rsid w:val="002C07BF"/>
    <w:rsid w:val="002C2761"/>
    <w:rsid w:val="002C2941"/>
    <w:rsid w:val="002C3F6A"/>
    <w:rsid w:val="002C5E22"/>
    <w:rsid w:val="002D08EC"/>
    <w:rsid w:val="002D20C6"/>
    <w:rsid w:val="002D34E9"/>
    <w:rsid w:val="002D4895"/>
    <w:rsid w:val="002D4D27"/>
    <w:rsid w:val="002D59F1"/>
    <w:rsid w:val="002D5C72"/>
    <w:rsid w:val="002D5D99"/>
    <w:rsid w:val="002E1152"/>
    <w:rsid w:val="002E1222"/>
    <w:rsid w:val="002E1D4A"/>
    <w:rsid w:val="002E39C2"/>
    <w:rsid w:val="002E3DC4"/>
    <w:rsid w:val="002E4B97"/>
    <w:rsid w:val="002E6341"/>
    <w:rsid w:val="002E7F77"/>
    <w:rsid w:val="002F1A27"/>
    <w:rsid w:val="002F21A6"/>
    <w:rsid w:val="002F3715"/>
    <w:rsid w:val="002F4B17"/>
    <w:rsid w:val="002F739F"/>
    <w:rsid w:val="002F7877"/>
    <w:rsid w:val="00300448"/>
    <w:rsid w:val="0030063A"/>
    <w:rsid w:val="00302F51"/>
    <w:rsid w:val="003031E9"/>
    <w:rsid w:val="00303B78"/>
    <w:rsid w:val="00305D1D"/>
    <w:rsid w:val="003100F8"/>
    <w:rsid w:val="003119A8"/>
    <w:rsid w:val="00312565"/>
    <w:rsid w:val="00314BFF"/>
    <w:rsid w:val="00315C90"/>
    <w:rsid w:val="00316A1D"/>
    <w:rsid w:val="003204F3"/>
    <w:rsid w:val="0032562F"/>
    <w:rsid w:val="00327208"/>
    <w:rsid w:val="00333379"/>
    <w:rsid w:val="00340469"/>
    <w:rsid w:val="003408C8"/>
    <w:rsid w:val="00343995"/>
    <w:rsid w:val="0034450F"/>
    <w:rsid w:val="00346169"/>
    <w:rsid w:val="0034682C"/>
    <w:rsid w:val="00346833"/>
    <w:rsid w:val="00347FAC"/>
    <w:rsid w:val="0035376A"/>
    <w:rsid w:val="00357A2E"/>
    <w:rsid w:val="003608A0"/>
    <w:rsid w:val="00360972"/>
    <w:rsid w:val="00364027"/>
    <w:rsid w:val="003659D3"/>
    <w:rsid w:val="00366987"/>
    <w:rsid w:val="00366A4D"/>
    <w:rsid w:val="00366A62"/>
    <w:rsid w:val="0036754C"/>
    <w:rsid w:val="00371834"/>
    <w:rsid w:val="00374B89"/>
    <w:rsid w:val="00374BAD"/>
    <w:rsid w:val="00380B3F"/>
    <w:rsid w:val="0038192B"/>
    <w:rsid w:val="00382389"/>
    <w:rsid w:val="003842DD"/>
    <w:rsid w:val="00385410"/>
    <w:rsid w:val="00390817"/>
    <w:rsid w:val="00391691"/>
    <w:rsid w:val="00395C66"/>
    <w:rsid w:val="0039610E"/>
    <w:rsid w:val="00396DC7"/>
    <w:rsid w:val="00397F98"/>
    <w:rsid w:val="003A1182"/>
    <w:rsid w:val="003A2CA1"/>
    <w:rsid w:val="003A37C6"/>
    <w:rsid w:val="003A3EFC"/>
    <w:rsid w:val="003A5931"/>
    <w:rsid w:val="003A784C"/>
    <w:rsid w:val="003A78A3"/>
    <w:rsid w:val="003B0E35"/>
    <w:rsid w:val="003B101E"/>
    <w:rsid w:val="003B1112"/>
    <w:rsid w:val="003B38C6"/>
    <w:rsid w:val="003B3C0A"/>
    <w:rsid w:val="003B4C8D"/>
    <w:rsid w:val="003B503E"/>
    <w:rsid w:val="003B783D"/>
    <w:rsid w:val="003B7D6E"/>
    <w:rsid w:val="003C1C3F"/>
    <w:rsid w:val="003C3F92"/>
    <w:rsid w:val="003C5025"/>
    <w:rsid w:val="003C5C3D"/>
    <w:rsid w:val="003D00F7"/>
    <w:rsid w:val="003D5E93"/>
    <w:rsid w:val="003D68E0"/>
    <w:rsid w:val="003D6EAE"/>
    <w:rsid w:val="003E0297"/>
    <w:rsid w:val="003E0FFF"/>
    <w:rsid w:val="003E14E1"/>
    <w:rsid w:val="003E29A4"/>
    <w:rsid w:val="003E314B"/>
    <w:rsid w:val="003E32D9"/>
    <w:rsid w:val="003E3704"/>
    <w:rsid w:val="003E3FF2"/>
    <w:rsid w:val="003E4988"/>
    <w:rsid w:val="003E54DF"/>
    <w:rsid w:val="003E5E80"/>
    <w:rsid w:val="003E6DF9"/>
    <w:rsid w:val="003F2E84"/>
    <w:rsid w:val="003F3168"/>
    <w:rsid w:val="003F3332"/>
    <w:rsid w:val="003F5247"/>
    <w:rsid w:val="003F6D59"/>
    <w:rsid w:val="003F7238"/>
    <w:rsid w:val="00403077"/>
    <w:rsid w:val="004058C2"/>
    <w:rsid w:val="00407C3C"/>
    <w:rsid w:val="0041081C"/>
    <w:rsid w:val="00410FB5"/>
    <w:rsid w:val="00411EF7"/>
    <w:rsid w:val="0041240D"/>
    <w:rsid w:val="00413283"/>
    <w:rsid w:val="00414826"/>
    <w:rsid w:val="00414FA3"/>
    <w:rsid w:val="00420F6B"/>
    <w:rsid w:val="00422B8F"/>
    <w:rsid w:val="0042327E"/>
    <w:rsid w:val="00426F2B"/>
    <w:rsid w:val="0043050E"/>
    <w:rsid w:val="004312E9"/>
    <w:rsid w:val="00432476"/>
    <w:rsid w:val="00433786"/>
    <w:rsid w:val="00434230"/>
    <w:rsid w:val="00434A30"/>
    <w:rsid w:val="00434D53"/>
    <w:rsid w:val="00436867"/>
    <w:rsid w:val="00436BBF"/>
    <w:rsid w:val="0043711F"/>
    <w:rsid w:val="00437954"/>
    <w:rsid w:val="004406A3"/>
    <w:rsid w:val="004421C5"/>
    <w:rsid w:val="00443C50"/>
    <w:rsid w:val="00445550"/>
    <w:rsid w:val="00445806"/>
    <w:rsid w:val="00450F12"/>
    <w:rsid w:val="00452523"/>
    <w:rsid w:val="00454FB5"/>
    <w:rsid w:val="00457284"/>
    <w:rsid w:val="00457E18"/>
    <w:rsid w:val="004631DF"/>
    <w:rsid w:val="004632C7"/>
    <w:rsid w:val="00463457"/>
    <w:rsid w:val="004678EA"/>
    <w:rsid w:val="00470404"/>
    <w:rsid w:val="00471F78"/>
    <w:rsid w:val="00472426"/>
    <w:rsid w:val="00473630"/>
    <w:rsid w:val="004737B9"/>
    <w:rsid w:val="0047603B"/>
    <w:rsid w:val="00476494"/>
    <w:rsid w:val="0047697B"/>
    <w:rsid w:val="00480F9C"/>
    <w:rsid w:val="00481D19"/>
    <w:rsid w:val="00482A4A"/>
    <w:rsid w:val="00483EDF"/>
    <w:rsid w:val="00485EDC"/>
    <w:rsid w:val="0048703E"/>
    <w:rsid w:val="0048761B"/>
    <w:rsid w:val="00490421"/>
    <w:rsid w:val="00490873"/>
    <w:rsid w:val="004909DC"/>
    <w:rsid w:val="004917F5"/>
    <w:rsid w:val="004950B8"/>
    <w:rsid w:val="00495405"/>
    <w:rsid w:val="004A67C6"/>
    <w:rsid w:val="004A77A6"/>
    <w:rsid w:val="004B0BAB"/>
    <w:rsid w:val="004B0F1C"/>
    <w:rsid w:val="004B15D9"/>
    <w:rsid w:val="004B1E64"/>
    <w:rsid w:val="004B3A4E"/>
    <w:rsid w:val="004B3CC4"/>
    <w:rsid w:val="004B4996"/>
    <w:rsid w:val="004B4C6F"/>
    <w:rsid w:val="004B55D0"/>
    <w:rsid w:val="004B63A4"/>
    <w:rsid w:val="004B678C"/>
    <w:rsid w:val="004B6BE8"/>
    <w:rsid w:val="004B7C70"/>
    <w:rsid w:val="004C2B3E"/>
    <w:rsid w:val="004C7A24"/>
    <w:rsid w:val="004D0B20"/>
    <w:rsid w:val="004D3D98"/>
    <w:rsid w:val="004D3E06"/>
    <w:rsid w:val="004D3EF5"/>
    <w:rsid w:val="004D48F9"/>
    <w:rsid w:val="004D7C6E"/>
    <w:rsid w:val="004E076F"/>
    <w:rsid w:val="004E2B3A"/>
    <w:rsid w:val="004E2D71"/>
    <w:rsid w:val="004E4359"/>
    <w:rsid w:val="004E4ED5"/>
    <w:rsid w:val="004E613D"/>
    <w:rsid w:val="004E670B"/>
    <w:rsid w:val="004E69C5"/>
    <w:rsid w:val="004E6BE0"/>
    <w:rsid w:val="004E7A68"/>
    <w:rsid w:val="004E7DFC"/>
    <w:rsid w:val="004F0FCC"/>
    <w:rsid w:val="004F3354"/>
    <w:rsid w:val="004F68D8"/>
    <w:rsid w:val="004F7A64"/>
    <w:rsid w:val="004F7B42"/>
    <w:rsid w:val="00501874"/>
    <w:rsid w:val="00502979"/>
    <w:rsid w:val="00503DA8"/>
    <w:rsid w:val="00505D4F"/>
    <w:rsid w:val="00505DB7"/>
    <w:rsid w:val="0050673F"/>
    <w:rsid w:val="0050691A"/>
    <w:rsid w:val="005070C5"/>
    <w:rsid w:val="005126EA"/>
    <w:rsid w:val="00513B43"/>
    <w:rsid w:val="00513FA2"/>
    <w:rsid w:val="00515784"/>
    <w:rsid w:val="005163DD"/>
    <w:rsid w:val="00516B2C"/>
    <w:rsid w:val="00517407"/>
    <w:rsid w:val="00520035"/>
    <w:rsid w:val="0052023F"/>
    <w:rsid w:val="00521C9E"/>
    <w:rsid w:val="00524CBD"/>
    <w:rsid w:val="005265B4"/>
    <w:rsid w:val="00526FBB"/>
    <w:rsid w:val="0053050A"/>
    <w:rsid w:val="0053274E"/>
    <w:rsid w:val="005328D6"/>
    <w:rsid w:val="00533D6E"/>
    <w:rsid w:val="00540761"/>
    <w:rsid w:val="005450A3"/>
    <w:rsid w:val="00545D32"/>
    <w:rsid w:val="00550387"/>
    <w:rsid w:val="005528D3"/>
    <w:rsid w:val="00555991"/>
    <w:rsid w:val="00555BDA"/>
    <w:rsid w:val="00557184"/>
    <w:rsid w:val="00557BA0"/>
    <w:rsid w:val="005608BC"/>
    <w:rsid w:val="00561C6C"/>
    <w:rsid w:val="00562741"/>
    <w:rsid w:val="00565AE6"/>
    <w:rsid w:val="00566D4C"/>
    <w:rsid w:val="00571350"/>
    <w:rsid w:val="00571D25"/>
    <w:rsid w:val="00573F66"/>
    <w:rsid w:val="005764EA"/>
    <w:rsid w:val="00576B70"/>
    <w:rsid w:val="00577096"/>
    <w:rsid w:val="00581118"/>
    <w:rsid w:val="00581130"/>
    <w:rsid w:val="0058259F"/>
    <w:rsid w:val="00582E9F"/>
    <w:rsid w:val="00583618"/>
    <w:rsid w:val="005865FF"/>
    <w:rsid w:val="005879D3"/>
    <w:rsid w:val="005913BA"/>
    <w:rsid w:val="00592A98"/>
    <w:rsid w:val="0059326B"/>
    <w:rsid w:val="0059518D"/>
    <w:rsid w:val="0059523B"/>
    <w:rsid w:val="005A024D"/>
    <w:rsid w:val="005A074F"/>
    <w:rsid w:val="005A0DE7"/>
    <w:rsid w:val="005A1D1D"/>
    <w:rsid w:val="005A4F61"/>
    <w:rsid w:val="005A5C74"/>
    <w:rsid w:val="005A79FB"/>
    <w:rsid w:val="005B0840"/>
    <w:rsid w:val="005B1373"/>
    <w:rsid w:val="005B4514"/>
    <w:rsid w:val="005B4A7B"/>
    <w:rsid w:val="005B5433"/>
    <w:rsid w:val="005B77E7"/>
    <w:rsid w:val="005C172F"/>
    <w:rsid w:val="005C3ED6"/>
    <w:rsid w:val="005C3FC6"/>
    <w:rsid w:val="005C45DF"/>
    <w:rsid w:val="005C52D1"/>
    <w:rsid w:val="005C5583"/>
    <w:rsid w:val="005C6BD3"/>
    <w:rsid w:val="005D4290"/>
    <w:rsid w:val="005D449A"/>
    <w:rsid w:val="005D695B"/>
    <w:rsid w:val="005E0C2E"/>
    <w:rsid w:val="005E1B7A"/>
    <w:rsid w:val="005E2A22"/>
    <w:rsid w:val="005E2CF3"/>
    <w:rsid w:val="005E39AA"/>
    <w:rsid w:val="005E3A79"/>
    <w:rsid w:val="005E3EDA"/>
    <w:rsid w:val="005E6512"/>
    <w:rsid w:val="005E712E"/>
    <w:rsid w:val="005E7A2B"/>
    <w:rsid w:val="005F0342"/>
    <w:rsid w:val="005F07C0"/>
    <w:rsid w:val="005F45A6"/>
    <w:rsid w:val="005F5B73"/>
    <w:rsid w:val="00600768"/>
    <w:rsid w:val="00601327"/>
    <w:rsid w:val="006033E8"/>
    <w:rsid w:val="00603AE6"/>
    <w:rsid w:val="00604A94"/>
    <w:rsid w:val="0060508F"/>
    <w:rsid w:val="00605180"/>
    <w:rsid w:val="00606883"/>
    <w:rsid w:val="0060704C"/>
    <w:rsid w:val="00607FB4"/>
    <w:rsid w:val="006106B3"/>
    <w:rsid w:val="00610AA2"/>
    <w:rsid w:val="00611C87"/>
    <w:rsid w:val="00612151"/>
    <w:rsid w:val="00612BAA"/>
    <w:rsid w:val="006152FF"/>
    <w:rsid w:val="00617900"/>
    <w:rsid w:val="00623778"/>
    <w:rsid w:val="00623F61"/>
    <w:rsid w:val="00624A90"/>
    <w:rsid w:val="00626B43"/>
    <w:rsid w:val="006270DC"/>
    <w:rsid w:val="00630816"/>
    <w:rsid w:val="00632A0E"/>
    <w:rsid w:val="00632CF8"/>
    <w:rsid w:val="00635CC2"/>
    <w:rsid w:val="0063694F"/>
    <w:rsid w:val="0063787B"/>
    <w:rsid w:val="0064069B"/>
    <w:rsid w:val="00642078"/>
    <w:rsid w:val="00646D50"/>
    <w:rsid w:val="00650928"/>
    <w:rsid w:val="00651F5B"/>
    <w:rsid w:val="0065408C"/>
    <w:rsid w:val="00655CFF"/>
    <w:rsid w:val="00656BD9"/>
    <w:rsid w:val="00657FCA"/>
    <w:rsid w:val="00662100"/>
    <w:rsid w:val="00662B56"/>
    <w:rsid w:val="006638E9"/>
    <w:rsid w:val="00665FA3"/>
    <w:rsid w:val="00666E45"/>
    <w:rsid w:val="00671261"/>
    <w:rsid w:val="006715BE"/>
    <w:rsid w:val="0067497E"/>
    <w:rsid w:val="0067519A"/>
    <w:rsid w:val="00675524"/>
    <w:rsid w:val="006757CA"/>
    <w:rsid w:val="00676557"/>
    <w:rsid w:val="00677E2D"/>
    <w:rsid w:val="00680B6E"/>
    <w:rsid w:val="00681D6D"/>
    <w:rsid w:val="00681D86"/>
    <w:rsid w:val="006821F9"/>
    <w:rsid w:val="0068238E"/>
    <w:rsid w:val="00684E66"/>
    <w:rsid w:val="00685C97"/>
    <w:rsid w:val="00685DA8"/>
    <w:rsid w:val="0068626C"/>
    <w:rsid w:val="00690B1D"/>
    <w:rsid w:val="00690E89"/>
    <w:rsid w:val="0069341A"/>
    <w:rsid w:val="00695432"/>
    <w:rsid w:val="0069631C"/>
    <w:rsid w:val="006A21D8"/>
    <w:rsid w:val="006A25CC"/>
    <w:rsid w:val="006A293D"/>
    <w:rsid w:val="006A29DB"/>
    <w:rsid w:val="006A2B2D"/>
    <w:rsid w:val="006A311D"/>
    <w:rsid w:val="006A5322"/>
    <w:rsid w:val="006A5A86"/>
    <w:rsid w:val="006B0C53"/>
    <w:rsid w:val="006B117F"/>
    <w:rsid w:val="006B25A0"/>
    <w:rsid w:val="006B3E1D"/>
    <w:rsid w:val="006B3EF3"/>
    <w:rsid w:val="006B42D0"/>
    <w:rsid w:val="006B7CDB"/>
    <w:rsid w:val="006C1E9B"/>
    <w:rsid w:val="006C22D5"/>
    <w:rsid w:val="006C4533"/>
    <w:rsid w:val="006C5F54"/>
    <w:rsid w:val="006C6A1C"/>
    <w:rsid w:val="006D5BE0"/>
    <w:rsid w:val="006D62A1"/>
    <w:rsid w:val="006D69D4"/>
    <w:rsid w:val="006D721A"/>
    <w:rsid w:val="006D7359"/>
    <w:rsid w:val="006D7936"/>
    <w:rsid w:val="006E116E"/>
    <w:rsid w:val="006E2476"/>
    <w:rsid w:val="006E31E3"/>
    <w:rsid w:val="006E48EB"/>
    <w:rsid w:val="006E6D24"/>
    <w:rsid w:val="006F31BC"/>
    <w:rsid w:val="006F3704"/>
    <w:rsid w:val="006F5796"/>
    <w:rsid w:val="006F58DF"/>
    <w:rsid w:val="006F6550"/>
    <w:rsid w:val="00700C5A"/>
    <w:rsid w:val="00701B46"/>
    <w:rsid w:val="007027DD"/>
    <w:rsid w:val="00704B3F"/>
    <w:rsid w:val="00705C6B"/>
    <w:rsid w:val="00706AF5"/>
    <w:rsid w:val="0071133A"/>
    <w:rsid w:val="00711A64"/>
    <w:rsid w:val="00711A82"/>
    <w:rsid w:val="007141D2"/>
    <w:rsid w:val="00715089"/>
    <w:rsid w:val="00715FAA"/>
    <w:rsid w:val="00716947"/>
    <w:rsid w:val="007174D0"/>
    <w:rsid w:val="00717D27"/>
    <w:rsid w:val="00720C0E"/>
    <w:rsid w:val="00720D5C"/>
    <w:rsid w:val="00721FBC"/>
    <w:rsid w:val="00722C8B"/>
    <w:rsid w:val="00723CB8"/>
    <w:rsid w:val="00723D0A"/>
    <w:rsid w:val="00723ED3"/>
    <w:rsid w:val="0072658A"/>
    <w:rsid w:val="007315BC"/>
    <w:rsid w:val="00731BF3"/>
    <w:rsid w:val="00732FFC"/>
    <w:rsid w:val="00733172"/>
    <w:rsid w:val="00736BBE"/>
    <w:rsid w:val="0074095C"/>
    <w:rsid w:val="00742253"/>
    <w:rsid w:val="00745E8C"/>
    <w:rsid w:val="00746800"/>
    <w:rsid w:val="007473B6"/>
    <w:rsid w:val="00751155"/>
    <w:rsid w:val="00754051"/>
    <w:rsid w:val="007548FF"/>
    <w:rsid w:val="00754A30"/>
    <w:rsid w:val="00756B1C"/>
    <w:rsid w:val="00757985"/>
    <w:rsid w:val="00760AEA"/>
    <w:rsid w:val="00761251"/>
    <w:rsid w:val="00762D0D"/>
    <w:rsid w:val="00762FDB"/>
    <w:rsid w:val="00763E3F"/>
    <w:rsid w:val="00767171"/>
    <w:rsid w:val="007706F8"/>
    <w:rsid w:val="0077194C"/>
    <w:rsid w:val="00771B60"/>
    <w:rsid w:val="00771CF6"/>
    <w:rsid w:val="0077334C"/>
    <w:rsid w:val="007744A1"/>
    <w:rsid w:val="00776108"/>
    <w:rsid w:val="007766AE"/>
    <w:rsid w:val="00776887"/>
    <w:rsid w:val="00777E80"/>
    <w:rsid w:val="00777FA4"/>
    <w:rsid w:val="007829FF"/>
    <w:rsid w:val="00786026"/>
    <w:rsid w:val="00786C83"/>
    <w:rsid w:val="00787989"/>
    <w:rsid w:val="00787FBE"/>
    <w:rsid w:val="0079253D"/>
    <w:rsid w:val="007926DA"/>
    <w:rsid w:val="00794C49"/>
    <w:rsid w:val="00794FCA"/>
    <w:rsid w:val="007954A6"/>
    <w:rsid w:val="0079601B"/>
    <w:rsid w:val="00796BA6"/>
    <w:rsid w:val="007978D0"/>
    <w:rsid w:val="007A01A4"/>
    <w:rsid w:val="007A110D"/>
    <w:rsid w:val="007A1A7F"/>
    <w:rsid w:val="007A1D0A"/>
    <w:rsid w:val="007A5C7E"/>
    <w:rsid w:val="007A760C"/>
    <w:rsid w:val="007B195D"/>
    <w:rsid w:val="007B28A8"/>
    <w:rsid w:val="007B4578"/>
    <w:rsid w:val="007B7BED"/>
    <w:rsid w:val="007C23F6"/>
    <w:rsid w:val="007C39B8"/>
    <w:rsid w:val="007C3A91"/>
    <w:rsid w:val="007C472A"/>
    <w:rsid w:val="007C7D8C"/>
    <w:rsid w:val="007C7F99"/>
    <w:rsid w:val="007D23A5"/>
    <w:rsid w:val="007E040B"/>
    <w:rsid w:val="007E3611"/>
    <w:rsid w:val="007E3616"/>
    <w:rsid w:val="007E3A18"/>
    <w:rsid w:val="007F1997"/>
    <w:rsid w:val="007F3282"/>
    <w:rsid w:val="007F34D0"/>
    <w:rsid w:val="007F3575"/>
    <w:rsid w:val="007F383E"/>
    <w:rsid w:val="007F638F"/>
    <w:rsid w:val="00800F7E"/>
    <w:rsid w:val="00803752"/>
    <w:rsid w:val="00804024"/>
    <w:rsid w:val="00804B7B"/>
    <w:rsid w:val="00810CF3"/>
    <w:rsid w:val="00813D94"/>
    <w:rsid w:val="008147F6"/>
    <w:rsid w:val="008208C1"/>
    <w:rsid w:val="00821C22"/>
    <w:rsid w:val="00822D8A"/>
    <w:rsid w:val="00823C10"/>
    <w:rsid w:val="00825220"/>
    <w:rsid w:val="008261A0"/>
    <w:rsid w:val="00826D04"/>
    <w:rsid w:val="00827E29"/>
    <w:rsid w:val="008309C7"/>
    <w:rsid w:val="0083231C"/>
    <w:rsid w:val="008327AD"/>
    <w:rsid w:val="008350E8"/>
    <w:rsid w:val="00837669"/>
    <w:rsid w:val="008404E4"/>
    <w:rsid w:val="00842ADD"/>
    <w:rsid w:val="00843C8C"/>
    <w:rsid w:val="00844F1A"/>
    <w:rsid w:val="008454A4"/>
    <w:rsid w:val="00845726"/>
    <w:rsid w:val="00850368"/>
    <w:rsid w:val="00850F06"/>
    <w:rsid w:val="008533F7"/>
    <w:rsid w:val="008541E1"/>
    <w:rsid w:val="008546BD"/>
    <w:rsid w:val="00855251"/>
    <w:rsid w:val="00855D2F"/>
    <w:rsid w:val="00855F60"/>
    <w:rsid w:val="00856EA4"/>
    <w:rsid w:val="008602CC"/>
    <w:rsid w:val="008614E9"/>
    <w:rsid w:val="00863945"/>
    <w:rsid w:val="00864D67"/>
    <w:rsid w:val="0086513B"/>
    <w:rsid w:val="00867E19"/>
    <w:rsid w:val="00870414"/>
    <w:rsid w:val="00873548"/>
    <w:rsid w:val="008767C2"/>
    <w:rsid w:val="00881802"/>
    <w:rsid w:val="0088268E"/>
    <w:rsid w:val="00882AD7"/>
    <w:rsid w:val="00882BE8"/>
    <w:rsid w:val="008836AA"/>
    <w:rsid w:val="00891882"/>
    <w:rsid w:val="00891C8A"/>
    <w:rsid w:val="00891D56"/>
    <w:rsid w:val="008929BC"/>
    <w:rsid w:val="00893077"/>
    <w:rsid w:val="008939E3"/>
    <w:rsid w:val="008A05F1"/>
    <w:rsid w:val="008A0935"/>
    <w:rsid w:val="008A2008"/>
    <w:rsid w:val="008A372E"/>
    <w:rsid w:val="008A502F"/>
    <w:rsid w:val="008A5F2E"/>
    <w:rsid w:val="008A6798"/>
    <w:rsid w:val="008A67A6"/>
    <w:rsid w:val="008A7306"/>
    <w:rsid w:val="008A7A8A"/>
    <w:rsid w:val="008B298A"/>
    <w:rsid w:val="008B2C1D"/>
    <w:rsid w:val="008B4699"/>
    <w:rsid w:val="008B4D5B"/>
    <w:rsid w:val="008B5159"/>
    <w:rsid w:val="008B6F7A"/>
    <w:rsid w:val="008B70A0"/>
    <w:rsid w:val="008C084E"/>
    <w:rsid w:val="008C1109"/>
    <w:rsid w:val="008C1D2A"/>
    <w:rsid w:val="008C1FFB"/>
    <w:rsid w:val="008C2565"/>
    <w:rsid w:val="008C2F61"/>
    <w:rsid w:val="008C33B1"/>
    <w:rsid w:val="008C43D2"/>
    <w:rsid w:val="008C4670"/>
    <w:rsid w:val="008C72D8"/>
    <w:rsid w:val="008C7851"/>
    <w:rsid w:val="008D2647"/>
    <w:rsid w:val="008D3FA0"/>
    <w:rsid w:val="008D415E"/>
    <w:rsid w:val="008D5702"/>
    <w:rsid w:val="008E0160"/>
    <w:rsid w:val="008E2069"/>
    <w:rsid w:val="008E2E9C"/>
    <w:rsid w:val="008E324B"/>
    <w:rsid w:val="008E3BED"/>
    <w:rsid w:val="008E565A"/>
    <w:rsid w:val="008E5755"/>
    <w:rsid w:val="008E590E"/>
    <w:rsid w:val="008E5A8B"/>
    <w:rsid w:val="008E6B47"/>
    <w:rsid w:val="008E768C"/>
    <w:rsid w:val="008F2988"/>
    <w:rsid w:val="008F2F42"/>
    <w:rsid w:val="008F34F3"/>
    <w:rsid w:val="008F594C"/>
    <w:rsid w:val="008F701E"/>
    <w:rsid w:val="008F76F9"/>
    <w:rsid w:val="00900B8E"/>
    <w:rsid w:val="009013D1"/>
    <w:rsid w:val="0090159C"/>
    <w:rsid w:val="00903012"/>
    <w:rsid w:val="00904C5F"/>
    <w:rsid w:val="009058C0"/>
    <w:rsid w:val="00906E4C"/>
    <w:rsid w:val="0090742C"/>
    <w:rsid w:val="00914D5E"/>
    <w:rsid w:val="0091625A"/>
    <w:rsid w:val="00916284"/>
    <w:rsid w:val="0091732C"/>
    <w:rsid w:val="00917D9D"/>
    <w:rsid w:val="00917E4B"/>
    <w:rsid w:val="0092021E"/>
    <w:rsid w:val="00920C6D"/>
    <w:rsid w:val="00921468"/>
    <w:rsid w:val="009217C7"/>
    <w:rsid w:val="009218DD"/>
    <w:rsid w:val="00921B3D"/>
    <w:rsid w:val="00921C93"/>
    <w:rsid w:val="009229B0"/>
    <w:rsid w:val="00923507"/>
    <w:rsid w:val="00924FD2"/>
    <w:rsid w:val="009302AD"/>
    <w:rsid w:val="009304F5"/>
    <w:rsid w:val="00930ACC"/>
    <w:rsid w:val="00933C9B"/>
    <w:rsid w:val="0093649B"/>
    <w:rsid w:val="009366C9"/>
    <w:rsid w:val="0093737D"/>
    <w:rsid w:val="00941EC4"/>
    <w:rsid w:val="00941F9C"/>
    <w:rsid w:val="00942346"/>
    <w:rsid w:val="00942C73"/>
    <w:rsid w:val="009508A7"/>
    <w:rsid w:val="00951CFD"/>
    <w:rsid w:val="00956461"/>
    <w:rsid w:val="00956A45"/>
    <w:rsid w:val="00957049"/>
    <w:rsid w:val="00957C00"/>
    <w:rsid w:val="00960C91"/>
    <w:rsid w:val="00960FC9"/>
    <w:rsid w:val="00965587"/>
    <w:rsid w:val="00965D73"/>
    <w:rsid w:val="00965F58"/>
    <w:rsid w:val="009664CF"/>
    <w:rsid w:val="0096749F"/>
    <w:rsid w:val="00973B92"/>
    <w:rsid w:val="00974819"/>
    <w:rsid w:val="009755CE"/>
    <w:rsid w:val="009757A1"/>
    <w:rsid w:val="009772D4"/>
    <w:rsid w:val="009772F3"/>
    <w:rsid w:val="00977656"/>
    <w:rsid w:val="00981782"/>
    <w:rsid w:val="009851AC"/>
    <w:rsid w:val="00985606"/>
    <w:rsid w:val="0098625F"/>
    <w:rsid w:val="00986882"/>
    <w:rsid w:val="00986AB2"/>
    <w:rsid w:val="009876BF"/>
    <w:rsid w:val="00987F37"/>
    <w:rsid w:val="00993BC5"/>
    <w:rsid w:val="0099401C"/>
    <w:rsid w:val="00994A41"/>
    <w:rsid w:val="00995DCC"/>
    <w:rsid w:val="00995F85"/>
    <w:rsid w:val="00996316"/>
    <w:rsid w:val="00996C56"/>
    <w:rsid w:val="009A1447"/>
    <w:rsid w:val="009A2F3D"/>
    <w:rsid w:val="009A632F"/>
    <w:rsid w:val="009A6671"/>
    <w:rsid w:val="009A6A5C"/>
    <w:rsid w:val="009A6A9D"/>
    <w:rsid w:val="009A7747"/>
    <w:rsid w:val="009B0A46"/>
    <w:rsid w:val="009B137F"/>
    <w:rsid w:val="009B1D45"/>
    <w:rsid w:val="009B1DB6"/>
    <w:rsid w:val="009B2BC0"/>
    <w:rsid w:val="009B4289"/>
    <w:rsid w:val="009B4EAB"/>
    <w:rsid w:val="009B5602"/>
    <w:rsid w:val="009B5796"/>
    <w:rsid w:val="009B610F"/>
    <w:rsid w:val="009B6E56"/>
    <w:rsid w:val="009B7526"/>
    <w:rsid w:val="009C082F"/>
    <w:rsid w:val="009C0F2B"/>
    <w:rsid w:val="009C10CB"/>
    <w:rsid w:val="009C2740"/>
    <w:rsid w:val="009C2F6F"/>
    <w:rsid w:val="009C3647"/>
    <w:rsid w:val="009C3750"/>
    <w:rsid w:val="009C676E"/>
    <w:rsid w:val="009C688B"/>
    <w:rsid w:val="009D0AAC"/>
    <w:rsid w:val="009D3CFF"/>
    <w:rsid w:val="009D559B"/>
    <w:rsid w:val="009E01BB"/>
    <w:rsid w:val="009E1D57"/>
    <w:rsid w:val="009E2F53"/>
    <w:rsid w:val="009E4A60"/>
    <w:rsid w:val="009E5423"/>
    <w:rsid w:val="009E684F"/>
    <w:rsid w:val="009F5711"/>
    <w:rsid w:val="009F684D"/>
    <w:rsid w:val="009F6F4C"/>
    <w:rsid w:val="009F7EA3"/>
    <w:rsid w:val="00A018B2"/>
    <w:rsid w:val="00A02216"/>
    <w:rsid w:val="00A04DAB"/>
    <w:rsid w:val="00A057F3"/>
    <w:rsid w:val="00A10498"/>
    <w:rsid w:val="00A1135F"/>
    <w:rsid w:val="00A137B4"/>
    <w:rsid w:val="00A1491D"/>
    <w:rsid w:val="00A14D6C"/>
    <w:rsid w:val="00A174DF"/>
    <w:rsid w:val="00A22C29"/>
    <w:rsid w:val="00A2373D"/>
    <w:rsid w:val="00A25041"/>
    <w:rsid w:val="00A2739A"/>
    <w:rsid w:val="00A27A44"/>
    <w:rsid w:val="00A27E78"/>
    <w:rsid w:val="00A30307"/>
    <w:rsid w:val="00A31D78"/>
    <w:rsid w:val="00A3297E"/>
    <w:rsid w:val="00A3326B"/>
    <w:rsid w:val="00A358C1"/>
    <w:rsid w:val="00A36DF8"/>
    <w:rsid w:val="00A37AEB"/>
    <w:rsid w:val="00A37B34"/>
    <w:rsid w:val="00A42053"/>
    <w:rsid w:val="00A43BBF"/>
    <w:rsid w:val="00A43EB5"/>
    <w:rsid w:val="00A44548"/>
    <w:rsid w:val="00A44B07"/>
    <w:rsid w:val="00A46069"/>
    <w:rsid w:val="00A5032E"/>
    <w:rsid w:val="00A523A0"/>
    <w:rsid w:val="00A55BAD"/>
    <w:rsid w:val="00A5634B"/>
    <w:rsid w:val="00A57FAE"/>
    <w:rsid w:val="00A61244"/>
    <w:rsid w:val="00A61D6A"/>
    <w:rsid w:val="00A62579"/>
    <w:rsid w:val="00A634CB"/>
    <w:rsid w:val="00A63720"/>
    <w:rsid w:val="00A63C2B"/>
    <w:rsid w:val="00A64620"/>
    <w:rsid w:val="00A67217"/>
    <w:rsid w:val="00A7021A"/>
    <w:rsid w:val="00A71DBC"/>
    <w:rsid w:val="00A73D7F"/>
    <w:rsid w:val="00A75068"/>
    <w:rsid w:val="00A774AB"/>
    <w:rsid w:val="00A77C2B"/>
    <w:rsid w:val="00A819CA"/>
    <w:rsid w:val="00A82A55"/>
    <w:rsid w:val="00A8529C"/>
    <w:rsid w:val="00A8750E"/>
    <w:rsid w:val="00A87A4A"/>
    <w:rsid w:val="00A87E6A"/>
    <w:rsid w:val="00A87FE9"/>
    <w:rsid w:val="00A90228"/>
    <w:rsid w:val="00A90BF1"/>
    <w:rsid w:val="00A9424B"/>
    <w:rsid w:val="00A94A5B"/>
    <w:rsid w:val="00A96DA2"/>
    <w:rsid w:val="00A96E0F"/>
    <w:rsid w:val="00AA081B"/>
    <w:rsid w:val="00AA1033"/>
    <w:rsid w:val="00AA1343"/>
    <w:rsid w:val="00AA295A"/>
    <w:rsid w:val="00AA3C73"/>
    <w:rsid w:val="00AA6906"/>
    <w:rsid w:val="00AA75EA"/>
    <w:rsid w:val="00AB0C79"/>
    <w:rsid w:val="00AB17CB"/>
    <w:rsid w:val="00AB1ACE"/>
    <w:rsid w:val="00AB3935"/>
    <w:rsid w:val="00AB54FF"/>
    <w:rsid w:val="00AB71D4"/>
    <w:rsid w:val="00AB7574"/>
    <w:rsid w:val="00AC103A"/>
    <w:rsid w:val="00AC3111"/>
    <w:rsid w:val="00AC477A"/>
    <w:rsid w:val="00AC599A"/>
    <w:rsid w:val="00AC5B22"/>
    <w:rsid w:val="00AC5F07"/>
    <w:rsid w:val="00AD007B"/>
    <w:rsid w:val="00AD0EBD"/>
    <w:rsid w:val="00AD13E2"/>
    <w:rsid w:val="00AD1661"/>
    <w:rsid w:val="00AD3D97"/>
    <w:rsid w:val="00AD5395"/>
    <w:rsid w:val="00AD5964"/>
    <w:rsid w:val="00AD5B82"/>
    <w:rsid w:val="00AE3364"/>
    <w:rsid w:val="00AE4870"/>
    <w:rsid w:val="00AF1FFB"/>
    <w:rsid w:val="00AF25DA"/>
    <w:rsid w:val="00AF2F1A"/>
    <w:rsid w:val="00AF4156"/>
    <w:rsid w:val="00AF43E4"/>
    <w:rsid w:val="00AF73CF"/>
    <w:rsid w:val="00B02716"/>
    <w:rsid w:val="00B02951"/>
    <w:rsid w:val="00B038E7"/>
    <w:rsid w:val="00B05C39"/>
    <w:rsid w:val="00B12F3A"/>
    <w:rsid w:val="00B135EA"/>
    <w:rsid w:val="00B1676A"/>
    <w:rsid w:val="00B20DA9"/>
    <w:rsid w:val="00B211B9"/>
    <w:rsid w:val="00B22301"/>
    <w:rsid w:val="00B247E4"/>
    <w:rsid w:val="00B251B2"/>
    <w:rsid w:val="00B25378"/>
    <w:rsid w:val="00B25647"/>
    <w:rsid w:val="00B2694E"/>
    <w:rsid w:val="00B27380"/>
    <w:rsid w:val="00B30FFC"/>
    <w:rsid w:val="00B33085"/>
    <w:rsid w:val="00B340FB"/>
    <w:rsid w:val="00B3423E"/>
    <w:rsid w:val="00B34B83"/>
    <w:rsid w:val="00B3764A"/>
    <w:rsid w:val="00B40F1A"/>
    <w:rsid w:val="00B41D14"/>
    <w:rsid w:val="00B4288C"/>
    <w:rsid w:val="00B434C6"/>
    <w:rsid w:val="00B45B1C"/>
    <w:rsid w:val="00B45BAE"/>
    <w:rsid w:val="00B4642F"/>
    <w:rsid w:val="00B47A6D"/>
    <w:rsid w:val="00B524AC"/>
    <w:rsid w:val="00B5289E"/>
    <w:rsid w:val="00B541E0"/>
    <w:rsid w:val="00B54FEE"/>
    <w:rsid w:val="00B5771D"/>
    <w:rsid w:val="00B57DAB"/>
    <w:rsid w:val="00B63DC2"/>
    <w:rsid w:val="00B6608F"/>
    <w:rsid w:val="00B7394F"/>
    <w:rsid w:val="00B754E7"/>
    <w:rsid w:val="00B75C3D"/>
    <w:rsid w:val="00B77196"/>
    <w:rsid w:val="00B807FE"/>
    <w:rsid w:val="00B81A02"/>
    <w:rsid w:val="00B82335"/>
    <w:rsid w:val="00B83181"/>
    <w:rsid w:val="00B855FD"/>
    <w:rsid w:val="00B864FC"/>
    <w:rsid w:val="00B87036"/>
    <w:rsid w:val="00B87455"/>
    <w:rsid w:val="00B91BE4"/>
    <w:rsid w:val="00B93CFE"/>
    <w:rsid w:val="00B93EBC"/>
    <w:rsid w:val="00B95653"/>
    <w:rsid w:val="00B961AD"/>
    <w:rsid w:val="00B96847"/>
    <w:rsid w:val="00BA25DB"/>
    <w:rsid w:val="00BA4C23"/>
    <w:rsid w:val="00BA5111"/>
    <w:rsid w:val="00BA51E3"/>
    <w:rsid w:val="00BB115A"/>
    <w:rsid w:val="00BB18B1"/>
    <w:rsid w:val="00BB2246"/>
    <w:rsid w:val="00BB2D9E"/>
    <w:rsid w:val="00BB3750"/>
    <w:rsid w:val="00BB5124"/>
    <w:rsid w:val="00BB5284"/>
    <w:rsid w:val="00BB5F3D"/>
    <w:rsid w:val="00BB7EF8"/>
    <w:rsid w:val="00BC1225"/>
    <w:rsid w:val="00BC270F"/>
    <w:rsid w:val="00BC2DEE"/>
    <w:rsid w:val="00BD3207"/>
    <w:rsid w:val="00BD3E91"/>
    <w:rsid w:val="00BD450C"/>
    <w:rsid w:val="00BD48FD"/>
    <w:rsid w:val="00BD4C15"/>
    <w:rsid w:val="00BD52CA"/>
    <w:rsid w:val="00BD5C98"/>
    <w:rsid w:val="00BD640C"/>
    <w:rsid w:val="00BD7285"/>
    <w:rsid w:val="00BE4CFC"/>
    <w:rsid w:val="00BE54BC"/>
    <w:rsid w:val="00BE6E56"/>
    <w:rsid w:val="00BE6E8B"/>
    <w:rsid w:val="00BF17C9"/>
    <w:rsid w:val="00BF3944"/>
    <w:rsid w:val="00BF396F"/>
    <w:rsid w:val="00BF5BDE"/>
    <w:rsid w:val="00BF5CAB"/>
    <w:rsid w:val="00C00666"/>
    <w:rsid w:val="00C027C2"/>
    <w:rsid w:val="00C049FC"/>
    <w:rsid w:val="00C059D8"/>
    <w:rsid w:val="00C06067"/>
    <w:rsid w:val="00C1003F"/>
    <w:rsid w:val="00C115C0"/>
    <w:rsid w:val="00C12322"/>
    <w:rsid w:val="00C13274"/>
    <w:rsid w:val="00C1342A"/>
    <w:rsid w:val="00C1363A"/>
    <w:rsid w:val="00C14DE7"/>
    <w:rsid w:val="00C16703"/>
    <w:rsid w:val="00C16AE3"/>
    <w:rsid w:val="00C17EAF"/>
    <w:rsid w:val="00C23E94"/>
    <w:rsid w:val="00C2468F"/>
    <w:rsid w:val="00C24935"/>
    <w:rsid w:val="00C26DF3"/>
    <w:rsid w:val="00C320AF"/>
    <w:rsid w:val="00C32991"/>
    <w:rsid w:val="00C32F95"/>
    <w:rsid w:val="00C33062"/>
    <w:rsid w:val="00C33403"/>
    <w:rsid w:val="00C33D8A"/>
    <w:rsid w:val="00C3566C"/>
    <w:rsid w:val="00C35944"/>
    <w:rsid w:val="00C4336A"/>
    <w:rsid w:val="00C439FE"/>
    <w:rsid w:val="00C4520E"/>
    <w:rsid w:val="00C458A2"/>
    <w:rsid w:val="00C46903"/>
    <w:rsid w:val="00C51818"/>
    <w:rsid w:val="00C5547D"/>
    <w:rsid w:val="00C56136"/>
    <w:rsid w:val="00C56FC1"/>
    <w:rsid w:val="00C60BAE"/>
    <w:rsid w:val="00C63451"/>
    <w:rsid w:val="00C6475D"/>
    <w:rsid w:val="00C70163"/>
    <w:rsid w:val="00C720F1"/>
    <w:rsid w:val="00C73169"/>
    <w:rsid w:val="00C75876"/>
    <w:rsid w:val="00C75A60"/>
    <w:rsid w:val="00C76F3B"/>
    <w:rsid w:val="00C77B37"/>
    <w:rsid w:val="00C806BA"/>
    <w:rsid w:val="00C81D0D"/>
    <w:rsid w:val="00C82BD6"/>
    <w:rsid w:val="00C831E5"/>
    <w:rsid w:val="00C83929"/>
    <w:rsid w:val="00C83E48"/>
    <w:rsid w:val="00C83F13"/>
    <w:rsid w:val="00C85CF6"/>
    <w:rsid w:val="00C86E74"/>
    <w:rsid w:val="00C874E8"/>
    <w:rsid w:val="00C8774C"/>
    <w:rsid w:val="00C910DC"/>
    <w:rsid w:val="00C9128E"/>
    <w:rsid w:val="00C9542E"/>
    <w:rsid w:val="00C96D84"/>
    <w:rsid w:val="00CA2E9A"/>
    <w:rsid w:val="00CA52A2"/>
    <w:rsid w:val="00CA5664"/>
    <w:rsid w:val="00CB585A"/>
    <w:rsid w:val="00CB591C"/>
    <w:rsid w:val="00CB788B"/>
    <w:rsid w:val="00CC21B7"/>
    <w:rsid w:val="00CC31FA"/>
    <w:rsid w:val="00CC3EDF"/>
    <w:rsid w:val="00CC4B5B"/>
    <w:rsid w:val="00CC6A3A"/>
    <w:rsid w:val="00CC72F4"/>
    <w:rsid w:val="00CD15EC"/>
    <w:rsid w:val="00CD6AC5"/>
    <w:rsid w:val="00CE051C"/>
    <w:rsid w:val="00CE4D0A"/>
    <w:rsid w:val="00CE52FD"/>
    <w:rsid w:val="00CE61E4"/>
    <w:rsid w:val="00CF0699"/>
    <w:rsid w:val="00CF3E03"/>
    <w:rsid w:val="00CF4AE2"/>
    <w:rsid w:val="00CF64EF"/>
    <w:rsid w:val="00CF6864"/>
    <w:rsid w:val="00CF7921"/>
    <w:rsid w:val="00D05587"/>
    <w:rsid w:val="00D05669"/>
    <w:rsid w:val="00D05DB1"/>
    <w:rsid w:val="00D0604A"/>
    <w:rsid w:val="00D061EC"/>
    <w:rsid w:val="00D075BA"/>
    <w:rsid w:val="00D12A46"/>
    <w:rsid w:val="00D13FD8"/>
    <w:rsid w:val="00D1411C"/>
    <w:rsid w:val="00D1765A"/>
    <w:rsid w:val="00D2187D"/>
    <w:rsid w:val="00D22798"/>
    <w:rsid w:val="00D227B0"/>
    <w:rsid w:val="00D22AD2"/>
    <w:rsid w:val="00D23A51"/>
    <w:rsid w:val="00D23D8D"/>
    <w:rsid w:val="00D247CC"/>
    <w:rsid w:val="00D261B8"/>
    <w:rsid w:val="00D262DE"/>
    <w:rsid w:val="00D26743"/>
    <w:rsid w:val="00D26B45"/>
    <w:rsid w:val="00D276B9"/>
    <w:rsid w:val="00D27FC4"/>
    <w:rsid w:val="00D328A8"/>
    <w:rsid w:val="00D368D8"/>
    <w:rsid w:val="00D405A4"/>
    <w:rsid w:val="00D42141"/>
    <w:rsid w:val="00D42BF2"/>
    <w:rsid w:val="00D43F18"/>
    <w:rsid w:val="00D44C4C"/>
    <w:rsid w:val="00D46DC1"/>
    <w:rsid w:val="00D50155"/>
    <w:rsid w:val="00D515F8"/>
    <w:rsid w:val="00D519E7"/>
    <w:rsid w:val="00D520C0"/>
    <w:rsid w:val="00D525D7"/>
    <w:rsid w:val="00D54067"/>
    <w:rsid w:val="00D54096"/>
    <w:rsid w:val="00D548B0"/>
    <w:rsid w:val="00D549A1"/>
    <w:rsid w:val="00D57A2E"/>
    <w:rsid w:val="00D63182"/>
    <w:rsid w:val="00D644DE"/>
    <w:rsid w:val="00D64C32"/>
    <w:rsid w:val="00D65455"/>
    <w:rsid w:val="00D65C39"/>
    <w:rsid w:val="00D661C1"/>
    <w:rsid w:val="00D6636D"/>
    <w:rsid w:val="00D66C01"/>
    <w:rsid w:val="00D67873"/>
    <w:rsid w:val="00D70C26"/>
    <w:rsid w:val="00D71AEC"/>
    <w:rsid w:val="00D744ED"/>
    <w:rsid w:val="00D757EC"/>
    <w:rsid w:val="00D758CD"/>
    <w:rsid w:val="00D7747B"/>
    <w:rsid w:val="00D774AE"/>
    <w:rsid w:val="00D77B8C"/>
    <w:rsid w:val="00D80482"/>
    <w:rsid w:val="00D8196B"/>
    <w:rsid w:val="00D82A6E"/>
    <w:rsid w:val="00D86C0A"/>
    <w:rsid w:val="00D9216B"/>
    <w:rsid w:val="00D934AE"/>
    <w:rsid w:val="00D9626E"/>
    <w:rsid w:val="00DA0D99"/>
    <w:rsid w:val="00DA22E5"/>
    <w:rsid w:val="00DA6409"/>
    <w:rsid w:val="00DB0DE0"/>
    <w:rsid w:val="00DB0F8A"/>
    <w:rsid w:val="00DB383B"/>
    <w:rsid w:val="00DB3ADD"/>
    <w:rsid w:val="00DB47FD"/>
    <w:rsid w:val="00DB6BA8"/>
    <w:rsid w:val="00DC08B1"/>
    <w:rsid w:val="00DC0AFA"/>
    <w:rsid w:val="00DC0CCC"/>
    <w:rsid w:val="00DC2AC4"/>
    <w:rsid w:val="00DC582A"/>
    <w:rsid w:val="00DC6F78"/>
    <w:rsid w:val="00DD0075"/>
    <w:rsid w:val="00DD15AB"/>
    <w:rsid w:val="00DD16EA"/>
    <w:rsid w:val="00DD2155"/>
    <w:rsid w:val="00DD2979"/>
    <w:rsid w:val="00DD344F"/>
    <w:rsid w:val="00DE011D"/>
    <w:rsid w:val="00DE0EA4"/>
    <w:rsid w:val="00DE1671"/>
    <w:rsid w:val="00DE193A"/>
    <w:rsid w:val="00DE2D8C"/>
    <w:rsid w:val="00DE52C8"/>
    <w:rsid w:val="00DE725E"/>
    <w:rsid w:val="00DE7417"/>
    <w:rsid w:val="00DE7FB5"/>
    <w:rsid w:val="00DF098B"/>
    <w:rsid w:val="00DF14F2"/>
    <w:rsid w:val="00DF1A1D"/>
    <w:rsid w:val="00DF2513"/>
    <w:rsid w:val="00DF255E"/>
    <w:rsid w:val="00DF2A7F"/>
    <w:rsid w:val="00DF32FD"/>
    <w:rsid w:val="00DF3CA1"/>
    <w:rsid w:val="00DF513C"/>
    <w:rsid w:val="00DF5CE5"/>
    <w:rsid w:val="00DF61B7"/>
    <w:rsid w:val="00DF6244"/>
    <w:rsid w:val="00DF65B2"/>
    <w:rsid w:val="00DF6852"/>
    <w:rsid w:val="00DF6A6C"/>
    <w:rsid w:val="00DF7FE7"/>
    <w:rsid w:val="00E01858"/>
    <w:rsid w:val="00E04532"/>
    <w:rsid w:val="00E061A7"/>
    <w:rsid w:val="00E072BC"/>
    <w:rsid w:val="00E07396"/>
    <w:rsid w:val="00E07570"/>
    <w:rsid w:val="00E1498B"/>
    <w:rsid w:val="00E14EBE"/>
    <w:rsid w:val="00E218EE"/>
    <w:rsid w:val="00E25620"/>
    <w:rsid w:val="00E25B59"/>
    <w:rsid w:val="00E27C81"/>
    <w:rsid w:val="00E328BE"/>
    <w:rsid w:val="00E33A2F"/>
    <w:rsid w:val="00E34F2A"/>
    <w:rsid w:val="00E4035E"/>
    <w:rsid w:val="00E441E2"/>
    <w:rsid w:val="00E441FB"/>
    <w:rsid w:val="00E46F4B"/>
    <w:rsid w:val="00E47473"/>
    <w:rsid w:val="00E51C0D"/>
    <w:rsid w:val="00E52966"/>
    <w:rsid w:val="00E53A34"/>
    <w:rsid w:val="00E53BCD"/>
    <w:rsid w:val="00E54889"/>
    <w:rsid w:val="00E60210"/>
    <w:rsid w:val="00E60355"/>
    <w:rsid w:val="00E60966"/>
    <w:rsid w:val="00E61A86"/>
    <w:rsid w:val="00E64360"/>
    <w:rsid w:val="00E718F3"/>
    <w:rsid w:val="00E71DBA"/>
    <w:rsid w:val="00E724EE"/>
    <w:rsid w:val="00E76849"/>
    <w:rsid w:val="00E805BA"/>
    <w:rsid w:val="00E82C35"/>
    <w:rsid w:val="00E83C79"/>
    <w:rsid w:val="00E84FAC"/>
    <w:rsid w:val="00E850D6"/>
    <w:rsid w:val="00E8564B"/>
    <w:rsid w:val="00E85BFB"/>
    <w:rsid w:val="00E86F23"/>
    <w:rsid w:val="00E87A35"/>
    <w:rsid w:val="00E913C7"/>
    <w:rsid w:val="00E95F6C"/>
    <w:rsid w:val="00E977D3"/>
    <w:rsid w:val="00E97B3C"/>
    <w:rsid w:val="00EA0558"/>
    <w:rsid w:val="00EA09BA"/>
    <w:rsid w:val="00EA17A0"/>
    <w:rsid w:val="00EA6A01"/>
    <w:rsid w:val="00EA75C8"/>
    <w:rsid w:val="00EB0BEE"/>
    <w:rsid w:val="00EB1329"/>
    <w:rsid w:val="00EB142D"/>
    <w:rsid w:val="00EB31CA"/>
    <w:rsid w:val="00EB43D8"/>
    <w:rsid w:val="00EB5209"/>
    <w:rsid w:val="00EC2E16"/>
    <w:rsid w:val="00EC5AF4"/>
    <w:rsid w:val="00ED047E"/>
    <w:rsid w:val="00ED0D87"/>
    <w:rsid w:val="00ED30D4"/>
    <w:rsid w:val="00ED3A61"/>
    <w:rsid w:val="00ED4971"/>
    <w:rsid w:val="00ED4C24"/>
    <w:rsid w:val="00ED6044"/>
    <w:rsid w:val="00ED6319"/>
    <w:rsid w:val="00ED7103"/>
    <w:rsid w:val="00ED749F"/>
    <w:rsid w:val="00ED7C42"/>
    <w:rsid w:val="00EE167C"/>
    <w:rsid w:val="00EE197D"/>
    <w:rsid w:val="00EE1D04"/>
    <w:rsid w:val="00EE1E0D"/>
    <w:rsid w:val="00EE2F36"/>
    <w:rsid w:val="00EE30E5"/>
    <w:rsid w:val="00EE3377"/>
    <w:rsid w:val="00EF0CC2"/>
    <w:rsid w:val="00EF0F28"/>
    <w:rsid w:val="00EF1AB7"/>
    <w:rsid w:val="00EF25C4"/>
    <w:rsid w:val="00EF3C33"/>
    <w:rsid w:val="00EF3E74"/>
    <w:rsid w:val="00EF676C"/>
    <w:rsid w:val="00EF7DB3"/>
    <w:rsid w:val="00EF7EC5"/>
    <w:rsid w:val="00F00F65"/>
    <w:rsid w:val="00F016CE"/>
    <w:rsid w:val="00F102B1"/>
    <w:rsid w:val="00F14D21"/>
    <w:rsid w:val="00F16E85"/>
    <w:rsid w:val="00F17537"/>
    <w:rsid w:val="00F207DB"/>
    <w:rsid w:val="00F2114A"/>
    <w:rsid w:val="00F22FC4"/>
    <w:rsid w:val="00F23CFA"/>
    <w:rsid w:val="00F32EB6"/>
    <w:rsid w:val="00F331E3"/>
    <w:rsid w:val="00F37085"/>
    <w:rsid w:val="00F40738"/>
    <w:rsid w:val="00F420DF"/>
    <w:rsid w:val="00F42C14"/>
    <w:rsid w:val="00F43360"/>
    <w:rsid w:val="00F440FA"/>
    <w:rsid w:val="00F46D81"/>
    <w:rsid w:val="00F518EB"/>
    <w:rsid w:val="00F533B8"/>
    <w:rsid w:val="00F53787"/>
    <w:rsid w:val="00F54130"/>
    <w:rsid w:val="00F54B08"/>
    <w:rsid w:val="00F551B9"/>
    <w:rsid w:val="00F562DB"/>
    <w:rsid w:val="00F575E8"/>
    <w:rsid w:val="00F577F7"/>
    <w:rsid w:val="00F60067"/>
    <w:rsid w:val="00F61207"/>
    <w:rsid w:val="00F63154"/>
    <w:rsid w:val="00F63C7A"/>
    <w:rsid w:val="00F64FBA"/>
    <w:rsid w:val="00F7156F"/>
    <w:rsid w:val="00F723E9"/>
    <w:rsid w:val="00F7351D"/>
    <w:rsid w:val="00F8053B"/>
    <w:rsid w:val="00F81561"/>
    <w:rsid w:val="00F82462"/>
    <w:rsid w:val="00F83997"/>
    <w:rsid w:val="00F83DF5"/>
    <w:rsid w:val="00F83EB8"/>
    <w:rsid w:val="00F84D2A"/>
    <w:rsid w:val="00F856E7"/>
    <w:rsid w:val="00F86873"/>
    <w:rsid w:val="00F8783A"/>
    <w:rsid w:val="00F87DFD"/>
    <w:rsid w:val="00F904B8"/>
    <w:rsid w:val="00F90561"/>
    <w:rsid w:val="00F91F85"/>
    <w:rsid w:val="00F932D3"/>
    <w:rsid w:val="00F958B0"/>
    <w:rsid w:val="00F96256"/>
    <w:rsid w:val="00F9627F"/>
    <w:rsid w:val="00F96DAA"/>
    <w:rsid w:val="00F975DE"/>
    <w:rsid w:val="00FA152C"/>
    <w:rsid w:val="00FA1CA6"/>
    <w:rsid w:val="00FA2CCB"/>
    <w:rsid w:val="00FA451B"/>
    <w:rsid w:val="00FB04E4"/>
    <w:rsid w:val="00FB1979"/>
    <w:rsid w:val="00FB3E8E"/>
    <w:rsid w:val="00FB58D4"/>
    <w:rsid w:val="00FB5959"/>
    <w:rsid w:val="00FB6422"/>
    <w:rsid w:val="00FC0D02"/>
    <w:rsid w:val="00FC58BA"/>
    <w:rsid w:val="00FC597A"/>
    <w:rsid w:val="00FC6350"/>
    <w:rsid w:val="00FC6792"/>
    <w:rsid w:val="00FD0318"/>
    <w:rsid w:val="00FD0A54"/>
    <w:rsid w:val="00FD1A1C"/>
    <w:rsid w:val="00FD3211"/>
    <w:rsid w:val="00FD41C1"/>
    <w:rsid w:val="00FD4F4A"/>
    <w:rsid w:val="00FD5633"/>
    <w:rsid w:val="00FD5967"/>
    <w:rsid w:val="00FD5EDB"/>
    <w:rsid w:val="00FD5F24"/>
    <w:rsid w:val="00FD7316"/>
    <w:rsid w:val="00FD73B2"/>
    <w:rsid w:val="00FE0BC6"/>
    <w:rsid w:val="00FE27E1"/>
    <w:rsid w:val="00FE34F3"/>
    <w:rsid w:val="00FE3AF4"/>
    <w:rsid w:val="00FE3C95"/>
    <w:rsid w:val="00FE3CC8"/>
    <w:rsid w:val="00FE5A9B"/>
    <w:rsid w:val="00FE717E"/>
    <w:rsid w:val="00FF082F"/>
    <w:rsid w:val="00FF2CFE"/>
    <w:rsid w:val="00FF4284"/>
    <w:rsid w:val="00FF4776"/>
    <w:rsid w:val="00FF521A"/>
    <w:rsid w:val="00FF5397"/>
    <w:rsid w:val="00FF74DC"/>
    <w:rsid w:val="00FF7618"/>
    <w:rsid w:val="00FF76AE"/>
    <w:rsid w:val="01065CAC"/>
    <w:rsid w:val="036415CE"/>
    <w:rsid w:val="04257C54"/>
    <w:rsid w:val="050012E8"/>
    <w:rsid w:val="0714058B"/>
    <w:rsid w:val="07EE6307"/>
    <w:rsid w:val="091B505B"/>
    <w:rsid w:val="0BF043EB"/>
    <w:rsid w:val="0D3808DC"/>
    <w:rsid w:val="10AA25EF"/>
    <w:rsid w:val="130D3306"/>
    <w:rsid w:val="19AA19D9"/>
    <w:rsid w:val="1A646A5E"/>
    <w:rsid w:val="1C720A51"/>
    <w:rsid w:val="1E081ECC"/>
    <w:rsid w:val="1F8150EF"/>
    <w:rsid w:val="1FB87B45"/>
    <w:rsid w:val="1FD22DBF"/>
    <w:rsid w:val="22D54551"/>
    <w:rsid w:val="2379223A"/>
    <w:rsid w:val="23796785"/>
    <w:rsid w:val="23B96013"/>
    <w:rsid w:val="23FF3E4F"/>
    <w:rsid w:val="26DC69DD"/>
    <w:rsid w:val="272B7FA4"/>
    <w:rsid w:val="274B4FE7"/>
    <w:rsid w:val="27E06CAE"/>
    <w:rsid w:val="29D81870"/>
    <w:rsid w:val="2C2B21C9"/>
    <w:rsid w:val="2CAE7D35"/>
    <w:rsid w:val="2D966855"/>
    <w:rsid w:val="2EE62516"/>
    <w:rsid w:val="2FD456CC"/>
    <w:rsid w:val="30476183"/>
    <w:rsid w:val="33E90A2A"/>
    <w:rsid w:val="342546A9"/>
    <w:rsid w:val="35407393"/>
    <w:rsid w:val="36091E84"/>
    <w:rsid w:val="36404A91"/>
    <w:rsid w:val="391324F7"/>
    <w:rsid w:val="3AC84360"/>
    <w:rsid w:val="3AFF2145"/>
    <w:rsid w:val="3DFB41C0"/>
    <w:rsid w:val="3EE83671"/>
    <w:rsid w:val="40186C21"/>
    <w:rsid w:val="429F586A"/>
    <w:rsid w:val="43A81794"/>
    <w:rsid w:val="48086415"/>
    <w:rsid w:val="48543349"/>
    <w:rsid w:val="4A1E143E"/>
    <w:rsid w:val="4AB077DF"/>
    <w:rsid w:val="4ABB7EBB"/>
    <w:rsid w:val="4CCB0784"/>
    <w:rsid w:val="4F607560"/>
    <w:rsid w:val="4F647B4E"/>
    <w:rsid w:val="50B731AD"/>
    <w:rsid w:val="51433ACC"/>
    <w:rsid w:val="5277582A"/>
    <w:rsid w:val="52A62A95"/>
    <w:rsid w:val="57AA4E39"/>
    <w:rsid w:val="58C64E47"/>
    <w:rsid w:val="5B233182"/>
    <w:rsid w:val="5B43165C"/>
    <w:rsid w:val="5D7E5764"/>
    <w:rsid w:val="5E141939"/>
    <w:rsid w:val="5E1D5649"/>
    <w:rsid w:val="5E2B7B1D"/>
    <w:rsid w:val="60C26BE2"/>
    <w:rsid w:val="63307A30"/>
    <w:rsid w:val="644C60C0"/>
    <w:rsid w:val="64787915"/>
    <w:rsid w:val="66E572BC"/>
    <w:rsid w:val="676345B1"/>
    <w:rsid w:val="697D330F"/>
    <w:rsid w:val="6ACA4BEB"/>
    <w:rsid w:val="6ADD0B5E"/>
    <w:rsid w:val="6B1C6C20"/>
    <w:rsid w:val="6DD90CDB"/>
    <w:rsid w:val="6EBB7C62"/>
    <w:rsid w:val="6F481423"/>
    <w:rsid w:val="71611F84"/>
    <w:rsid w:val="728A362E"/>
    <w:rsid w:val="72A30F36"/>
    <w:rsid w:val="75F749A3"/>
    <w:rsid w:val="76FA010A"/>
    <w:rsid w:val="79363B25"/>
    <w:rsid w:val="79AB588D"/>
    <w:rsid w:val="7C026927"/>
    <w:rsid w:val="7CF27C8A"/>
    <w:rsid w:val="7D847D9D"/>
    <w:rsid w:val="7F4740D8"/>
    <w:rsid w:val="7F520707"/>
    <w:rsid w:val="BEDB4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
    <w:pPr>
      <w:keepNext/>
      <w:keepLines/>
      <w:spacing w:line="264" w:lineRule="auto"/>
      <w:ind w:firstLine="200" w:firstLineChars="200"/>
      <w:outlineLvl w:val="1"/>
    </w:pPr>
    <w:rPr>
      <w:rFonts w:ascii="Cambria" w:hAnsi="Cambria"/>
      <w:b/>
      <w:bCs/>
      <w:sz w:val="2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unhideWhenUsed/>
    <w:qFormat/>
    <w:uiPriority w:val="99"/>
    <w:pPr>
      <w:jc w:val="left"/>
    </w:pPr>
  </w:style>
  <w:style w:type="paragraph" w:styleId="5">
    <w:name w:val="Body Text Indent"/>
    <w:basedOn w:val="1"/>
    <w:link w:val="16"/>
    <w:qFormat/>
    <w:uiPriority w:val="0"/>
    <w:pPr>
      <w:spacing w:after="120"/>
      <w:ind w:left="420" w:leftChars="200"/>
    </w:pPr>
    <w:rPr>
      <w:szCs w:val="24"/>
    </w:r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unhideWhenUsed/>
    <w:qFormat/>
    <w:uiPriority w:val="99"/>
    <w:rPr>
      <w:b/>
      <w:bCs/>
    </w:rPr>
  </w:style>
  <w:style w:type="character" w:styleId="12">
    <w:name w:val="annotation reference"/>
    <w:unhideWhenUsed/>
    <w:qFormat/>
    <w:uiPriority w:val="99"/>
    <w:rPr>
      <w:sz w:val="21"/>
      <w:szCs w:val="21"/>
    </w:rPr>
  </w:style>
  <w:style w:type="character" w:customStyle="1" w:styleId="13">
    <w:name w:val="标题 1 字符"/>
    <w:link w:val="2"/>
    <w:qFormat/>
    <w:uiPriority w:val="9"/>
    <w:rPr>
      <w:b/>
      <w:bCs/>
      <w:kern w:val="44"/>
      <w:sz w:val="44"/>
      <w:szCs w:val="44"/>
    </w:rPr>
  </w:style>
  <w:style w:type="character" w:customStyle="1" w:styleId="14">
    <w:name w:val="标题 2 字符"/>
    <w:link w:val="3"/>
    <w:qFormat/>
    <w:uiPriority w:val="9"/>
    <w:rPr>
      <w:rFonts w:ascii="Cambria" w:hAnsi="Cambria"/>
      <w:b/>
      <w:bCs/>
      <w:kern w:val="2"/>
      <w:szCs w:val="32"/>
    </w:rPr>
  </w:style>
  <w:style w:type="character" w:customStyle="1" w:styleId="15">
    <w:name w:val="批注文字 字符"/>
    <w:link w:val="4"/>
    <w:qFormat/>
    <w:uiPriority w:val="99"/>
    <w:rPr>
      <w:kern w:val="2"/>
      <w:sz w:val="21"/>
      <w:szCs w:val="22"/>
    </w:rPr>
  </w:style>
  <w:style w:type="character" w:customStyle="1" w:styleId="16">
    <w:name w:val="正文文本缩进 字符"/>
    <w:link w:val="5"/>
    <w:qFormat/>
    <w:uiPriority w:val="0"/>
    <w:rPr>
      <w:rFonts w:ascii="Times New Roman" w:hAnsi="Times New Roman"/>
      <w:kern w:val="2"/>
      <w:sz w:val="21"/>
      <w:szCs w:val="24"/>
    </w:rPr>
  </w:style>
  <w:style w:type="character" w:customStyle="1" w:styleId="17">
    <w:name w:val="批注框文本 字符"/>
    <w:link w:val="6"/>
    <w:semiHidden/>
    <w:qFormat/>
    <w:uiPriority w:val="99"/>
    <w:rPr>
      <w:kern w:val="2"/>
      <w:sz w:val="18"/>
      <w:szCs w:val="18"/>
    </w:rPr>
  </w:style>
  <w:style w:type="character" w:customStyle="1" w:styleId="18">
    <w:name w:val="页脚 字符"/>
    <w:link w:val="7"/>
    <w:qFormat/>
    <w:uiPriority w:val="99"/>
    <w:rPr>
      <w:kern w:val="2"/>
      <w:sz w:val="18"/>
      <w:szCs w:val="18"/>
    </w:rPr>
  </w:style>
  <w:style w:type="character" w:customStyle="1" w:styleId="19">
    <w:name w:val="页眉 字符"/>
    <w:link w:val="8"/>
    <w:qFormat/>
    <w:uiPriority w:val="99"/>
    <w:rPr>
      <w:kern w:val="2"/>
      <w:sz w:val="18"/>
      <w:szCs w:val="18"/>
    </w:rPr>
  </w:style>
  <w:style w:type="character" w:customStyle="1" w:styleId="20">
    <w:name w:val="批注主题 字符"/>
    <w:link w:val="9"/>
    <w:semiHidden/>
    <w:qFormat/>
    <w:uiPriority w:val="99"/>
    <w:rPr>
      <w:b/>
      <w:bCs/>
      <w:kern w:val="2"/>
      <w:sz w:val="21"/>
      <w:szCs w:val="22"/>
    </w:rPr>
  </w:style>
  <w:style w:type="paragraph" w:customStyle="1" w:styleId="21">
    <w:name w:val="Revision"/>
    <w:unhideWhenUsed/>
    <w:qFormat/>
    <w:uiPriority w:val="99"/>
    <w:rPr>
      <w:rFonts w:ascii="Times New Roman" w:hAnsi="Times New Roman" w:eastAsia="宋体" w:cs="Times New Roman"/>
      <w:kern w:val="2"/>
      <w:sz w:val="21"/>
      <w:szCs w:val="22"/>
      <w:lang w:val="en-US" w:eastAsia="zh-CN" w:bidi="ar-SA"/>
    </w:rPr>
  </w:style>
  <w:style w:type="paragraph" w:customStyle="1" w:styleId="2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批注文字 字符1"/>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4157</Words>
  <Characters>23701</Characters>
  <Lines>197</Lines>
  <Paragraphs>55</Paragraphs>
  <TotalTime>12</TotalTime>
  <ScaleCrop>false</ScaleCrop>
  <LinksUpToDate>false</LinksUpToDate>
  <CharactersWithSpaces>27803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2026-01-16T13:06:00Z</dcterms:created>
  <dc:creator>CCB</dc:creator>
  <cp:lastModifiedBy>jxlc</cp:lastModifiedBy>
  <cp:lastPrinted>2018-08-08T03:19:00Z</cp:lastPrinted>
  <dcterms:modified xsi:type="dcterms:W3CDTF">2026-03-24T09:24:29Z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B4DA068B85DB452EA8F002DD95DD080C_13</vt:lpwstr>
  </property>
</Properties>
</file>