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4149F" w14:textId="77777777" w:rsidR="00EC7F33" w:rsidRDefault="00B1328A">
      <w:pPr>
        <w:spacing w:beforeLines="40" w:before="124" w:afterLines="40" w:after="124"/>
        <w:jc w:val="center"/>
        <w:rPr>
          <w:rFonts w:ascii="黑体" w:eastAsia="黑体" w:hAnsi="黑体" w:cs="Arial"/>
          <w:b/>
          <w:color w:val="000000"/>
          <w:kern w:val="0"/>
          <w:sz w:val="28"/>
          <w:szCs w:val="36"/>
        </w:rPr>
      </w:pPr>
      <w:r>
        <w:rPr>
          <w:rFonts w:ascii="黑体" w:eastAsia="黑体" w:hAnsi="黑体" w:cs="Arial" w:hint="eastAsia"/>
          <w:b/>
          <w:color w:val="000000"/>
          <w:kern w:val="0"/>
          <w:sz w:val="28"/>
          <w:szCs w:val="36"/>
        </w:rPr>
        <w:t>理财产品投资者权益须知</w:t>
      </w:r>
    </w:p>
    <w:p w14:paraId="47A7D3DB" w14:textId="77777777" w:rsidR="00EC7F33" w:rsidRDefault="00B1328A">
      <w:pPr>
        <w:adjustRightInd w:val="0"/>
        <w:snapToGrid w:val="0"/>
        <w:spacing w:line="280" w:lineRule="exact"/>
        <w:rPr>
          <w:rFonts w:ascii="黑体" w:eastAsia="黑体" w:hAnsi="黑体" w:cs="Courier New"/>
          <w:bCs/>
          <w:color w:val="000000"/>
          <w:sz w:val="24"/>
        </w:rPr>
      </w:pPr>
      <w:r>
        <w:rPr>
          <w:rFonts w:ascii="黑体" w:eastAsia="黑体" w:hAnsi="黑体" w:cs="Courier New" w:hint="eastAsia"/>
          <w:bCs/>
          <w:color w:val="000000"/>
          <w:sz w:val="24"/>
        </w:rPr>
        <w:t>尊敬的投资者：</w:t>
      </w:r>
    </w:p>
    <w:p w14:paraId="0C7745F7" w14:textId="77777777" w:rsidR="00EC7F33" w:rsidRDefault="00B1328A">
      <w:pPr>
        <w:adjustRightInd w:val="0"/>
        <w:snapToGrid w:val="0"/>
        <w:spacing w:line="280" w:lineRule="exact"/>
        <w:ind w:firstLineChars="200" w:firstLine="420"/>
        <w:rPr>
          <w:rFonts w:ascii="宋体" w:hAnsi="宋体" w:cs="Courier New"/>
          <w:bCs/>
          <w:color w:val="000000"/>
          <w:szCs w:val="21"/>
        </w:rPr>
      </w:pPr>
      <w:r>
        <w:rPr>
          <w:rFonts w:ascii="宋体" w:hAnsi="宋体" w:cs="Courier New" w:hint="eastAsia"/>
          <w:bCs/>
          <w:color w:val="000000"/>
          <w:szCs w:val="21"/>
        </w:rPr>
        <w:t>本权益须知适用于中国</w:t>
      </w:r>
      <w:r w:rsidR="007A4E7D">
        <w:rPr>
          <w:rFonts w:ascii="宋体" w:hAnsi="宋体" w:cs="Courier New" w:hint="eastAsia"/>
          <w:bCs/>
          <w:color w:val="000000"/>
          <w:szCs w:val="21"/>
        </w:rPr>
        <w:t>建设</w:t>
      </w:r>
      <w:r>
        <w:rPr>
          <w:rFonts w:ascii="宋体" w:hAnsi="宋体" w:cs="Courier New" w:hint="eastAsia"/>
          <w:bCs/>
          <w:color w:val="000000"/>
          <w:szCs w:val="21"/>
        </w:rPr>
        <w:t>银行代理销售</w:t>
      </w:r>
      <w:r w:rsidR="007A4E7D">
        <w:rPr>
          <w:rFonts w:ascii="宋体" w:hAnsi="宋体" w:cs="Courier New" w:hint="eastAsia"/>
          <w:bCs/>
          <w:color w:val="000000"/>
          <w:szCs w:val="21"/>
        </w:rPr>
        <w:t>建信</w:t>
      </w:r>
      <w:r>
        <w:rPr>
          <w:rFonts w:ascii="宋体" w:hAnsi="宋体" w:cs="Courier New" w:hint="eastAsia"/>
          <w:bCs/>
          <w:color w:val="000000"/>
          <w:szCs w:val="21"/>
        </w:rPr>
        <w:t>理财有限责任公司发行的理财产品。为了保护您的合法权益，请您在投资理财产品前认真阅读以下内容：</w:t>
      </w:r>
    </w:p>
    <w:p w14:paraId="56C3BA32" w14:textId="472B61F7" w:rsidR="00EC7F33" w:rsidRDefault="00B1328A">
      <w:pPr>
        <w:adjustRightInd w:val="0"/>
        <w:snapToGrid w:val="0"/>
        <w:spacing w:line="280" w:lineRule="exact"/>
        <w:ind w:firstLineChars="200" w:firstLine="422"/>
        <w:rPr>
          <w:rFonts w:ascii="宋体" w:hAnsi="宋体" w:cs="Courier New"/>
          <w:b/>
          <w:bCs/>
          <w:color w:val="000000"/>
          <w:szCs w:val="21"/>
        </w:rPr>
      </w:pPr>
      <w:r>
        <w:rPr>
          <w:rFonts w:ascii="宋体" w:hAnsi="宋体" w:cs="Courier New" w:hint="eastAsia"/>
          <w:b/>
          <w:bCs/>
          <w:color w:val="000000"/>
          <w:szCs w:val="21"/>
        </w:rPr>
        <w:t>1.本产品由</w:t>
      </w:r>
      <w:r w:rsidR="007A4E7D">
        <w:rPr>
          <w:rFonts w:ascii="宋体" w:hAnsi="宋体" w:cs="Courier New" w:hint="eastAsia"/>
          <w:b/>
          <w:bCs/>
          <w:color w:val="000000"/>
          <w:szCs w:val="21"/>
        </w:rPr>
        <w:t>建信理财</w:t>
      </w:r>
      <w:r>
        <w:rPr>
          <w:rFonts w:ascii="宋体" w:hAnsi="宋体" w:cs="Courier New" w:hint="eastAsia"/>
          <w:b/>
          <w:bCs/>
          <w:color w:val="000000"/>
          <w:szCs w:val="21"/>
        </w:rPr>
        <w:t>有限责任公司发行与管理，代销机构中国</w:t>
      </w:r>
      <w:r w:rsidR="007A4E7D">
        <w:rPr>
          <w:rFonts w:ascii="宋体" w:hAnsi="宋体" w:cs="Courier New" w:hint="eastAsia"/>
          <w:b/>
          <w:bCs/>
          <w:color w:val="000000"/>
          <w:szCs w:val="21"/>
        </w:rPr>
        <w:t>建设</w:t>
      </w:r>
      <w:r>
        <w:rPr>
          <w:rFonts w:ascii="宋体" w:hAnsi="宋体" w:cs="Courier New" w:hint="eastAsia"/>
          <w:b/>
          <w:bCs/>
          <w:color w:val="000000"/>
          <w:szCs w:val="21"/>
        </w:rPr>
        <w:t>银行只负责您与</w:t>
      </w:r>
      <w:r w:rsidR="007A4E7D">
        <w:rPr>
          <w:rFonts w:ascii="宋体" w:hAnsi="宋体" w:cs="Courier New" w:hint="eastAsia"/>
          <w:b/>
          <w:bCs/>
          <w:color w:val="000000"/>
          <w:szCs w:val="21"/>
        </w:rPr>
        <w:t>建信</w:t>
      </w:r>
      <w:r>
        <w:rPr>
          <w:rFonts w:ascii="宋体" w:hAnsi="宋体" w:cs="Courier New" w:hint="eastAsia"/>
          <w:b/>
          <w:bCs/>
          <w:color w:val="000000"/>
          <w:szCs w:val="21"/>
        </w:rPr>
        <w:t>理财有限责任公司之间的资金划转工作，</w:t>
      </w:r>
      <w:r w:rsidR="00670EAE">
        <w:rPr>
          <w:rFonts w:ascii="宋体" w:hAnsi="宋体" w:cs="Courier New" w:hint="eastAsia"/>
          <w:b/>
          <w:bCs/>
          <w:color w:val="000000"/>
          <w:szCs w:val="21"/>
        </w:rPr>
        <w:t>除因中国建设银行存在过错，</w:t>
      </w:r>
      <w:r>
        <w:rPr>
          <w:rFonts w:ascii="宋体" w:hAnsi="宋体" w:cs="Courier New" w:hint="eastAsia"/>
          <w:b/>
          <w:bCs/>
          <w:color w:val="000000"/>
          <w:szCs w:val="21"/>
        </w:rPr>
        <w:t>不承担产品的投资、兑付和风险管理责任。</w:t>
      </w:r>
      <w:proofErr w:type="gramStart"/>
      <w:r>
        <w:rPr>
          <w:rFonts w:ascii="宋体" w:hAnsi="宋体" w:cs="Courier New" w:hint="eastAsia"/>
          <w:b/>
          <w:bCs/>
          <w:color w:val="000000"/>
          <w:szCs w:val="21"/>
        </w:rPr>
        <w:t>若收益</w:t>
      </w:r>
      <w:proofErr w:type="gramEnd"/>
      <w:r>
        <w:rPr>
          <w:rFonts w:ascii="宋体" w:hAnsi="宋体" w:cs="Courier New" w:hint="eastAsia"/>
          <w:b/>
          <w:bCs/>
          <w:color w:val="000000"/>
          <w:szCs w:val="21"/>
        </w:rPr>
        <w:t>分配或投资期满时，</w:t>
      </w:r>
      <w:r w:rsidR="007A4E7D">
        <w:rPr>
          <w:rFonts w:ascii="宋体" w:hAnsi="宋体" w:cs="Courier New" w:hint="eastAsia"/>
          <w:b/>
          <w:bCs/>
          <w:color w:val="000000"/>
          <w:szCs w:val="21"/>
        </w:rPr>
        <w:t>建信理财</w:t>
      </w:r>
      <w:r>
        <w:rPr>
          <w:rFonts w:ascii="宋体" w:hAnsi="宋体" w:cs="Courier New" w:hint="eastAsia"/>
          <w:b/>
          <w:bCs/>
          <w:color w:val="000000"/>
          <w:szCs w:val="21"/>
        </w:rPr>
        <w:t>有限责任公司未在规定时间内将资金划入开立在中国</w:t>
      </w:r>
      <w:r w:rsidR="007A4E7D">
        <w:rPr>
          <w:rFonts w:ascii="宋体" w:hAnsi="宋体" w:cs="Courier New" w:hint="eastAsia"/>
          <w:b/>
          <w:bCs/>
          <w:color w:val="000000"/>
          <w:szCs w:val="21"/>
        </w:rPr>
        <w:t>建设</w:t>
      </w:r>
      <w:r>
        <w:rPr>
          <w:rFonts w:ascii="宋体" w:hAnsi="宋体" w:cs="Courier New" w:hint="eastAsia"/>
          <w:b/>
          <w:bCs/>
          <w:color w:val="000000"/>
          <w:szCs w:val="21"/>
        </w:rPr>
        <w:t>银行的合约账户，中国</w:t>
      </w:r>
      <w:r w:rsidR="007A4E7D">
        <w:rPr>
          <w:rFonts w:ascii="宋体" w:hAnsi="宋体" w:cs="Courier New" w:hint="eastAsia"/>
          <w:b/>
          <w:bCs/>
          <w:color w:val="000000"/>
          <w:szCs w:val="21"/>
        </w:rPr>
        <w:t>建设银行</w:t>
      </w:r>
      <w:r>
        <w:rPr>
          <w:rFonts w:ascii="宋体" w:hAnsi="宋体" w:cs="Courier New" w:hint="eastAsia"/>
          <w:b/>
          <w:bCs/>
          <w:color w:val="000000"/>
          <w:szCs w:val="21"/>
        </w:rPr>
        <w:t>则不能及时将您的收益或本金划入您的账户</w:t>
      </w:r>
      <w:r w:rsidR="00670EAE">
        <w:rPr>
          <w:rFonts w:ascii="宋体" w:hAnsi="宋体" w:cs="Courier New" w:hint="eastAsia"/>
          <w:b/>
          <w:bCs/>
          <w:color w:val="000000"/>
          <w:szCs w:val="21"/>
        </w:rPr>
        <w:t>，</w:t>
      </w:r>
      <w:r>
        <w:rPr>
          <w:rFonts w:ascii="宋体" w:hAnsi="宋体" w:cs="Courier New" w:hint="eastAsia"/>
          <w:b/>
          <w:bCs/>
          <w:color w:val="000000"/>
          <w:szCs w:val="21"/>
        </w:rPr>
        <w:t>对此，中国</w:t>
      </w:r>
      <w:r w:rsidR="007A4E7D">
        <w:rPr>
          <w:rFonts w:ascii="宋体" w:hAnsi="宋体" w:cs="Courier New" w:hint="eastAsia"/>
          <w:b/>
          <w:bCs/>
          <w:color w:val="000000"/>
          <w:szCs w:val="21"/>
        </w:rPr>
        <w:t>建设银行</w:t>
      </w:r>
      <w:r>
        <w:rPr>
          <w:rFonts w:ascii="宋体" w:hAnsi="宋体" w:cs="Courier New" w:hint="eastAsia"/>
          <w:b/>
          <w:bCs/>
          <w:color w:val="000000"/>
          <w:szCs w:val="21"/>
        </w:rPr>
        <w:t>不承担相关责任，也不垫付任何款项。</w:t>
      </w:r>
    </w:p>
    <w:p w14:paraId="2DCAE31C" w14:textId="77777777" w:rsidR="00EC7F33" w:rsidRDefault="00B1328A">
      <w:pPr>
        <w:adjustRightInd w:val="0"/>
        <w:snapToGrid w:val="0"/>
        <w:spacing w:line="280" w:lineRule="exact"/>
        <w:ind w:firstLineChars="200" w:firstLine="420"/>
        <w:rPr>
          <w:rFonts w:ascii="宋体" w:hAnsi="宋体" w:cs="Courier New"/>
          <w:bCs/>
          <w:color w:val="000000"/>
          <w:szCs w:val="21"/>
        </w:rPr>
      </w:pPr>
      <w:r>
        <w:rPr>
          <w:rFonts w:ascii="宋体" w:hAnsi="宋体" w:cs="Courier New" w:hint="eastAsia"/>
          <w:bCs/>
          <w:color w:val="000000"/>
          <w:szCs w:val="21"/>
        </w:rPr>
        <w:t>2.个人投资者在中国</w:t>
      </w:r>
      <w:r w:rsidR="007A4E7D">
        <w:rPr>
          <w:rFonts w:ascii="宋体" w:hAnsi="宋体" w:cs="Courier New" w:hint="eastAsia"/>
          <w:bCs/>
          <w:color w:val="000000"/>
          <w:szCs w:val="21"/>
        </w:rPr>
        <w:t>建设银行</w:t>
      </w:r>
      <w:r>
        <w:rPr>
          <w:rFonts w:ascii="宋体" w:hAnsi="宋体" w:cs="Courier New" w:hint="eastAsia"/>
          <w:bCs/>
          <w:color w:val="000000"/>
          <w:szCs w:val="21"/>
        </w:rPr>
        <w:t>网点购买代销的理财产品，需持在中国</w:t>
      </w:r>
      <w:r w:rsidR="007A4E7D">
        <w:rPr>
          <w:rFonts w:ascii="宋体" w:hAnsi="宋体" w:cs="Courier New" w:hint="eastAsia"/>
          <w:bCs/>
          <w:color w:val="000000"/>
          <w:szCs w:val="21"/>
        </w:rPr>
        <w:t>建设银行</w:t>
      </w:r>
      <w:r>
        <w:rPr>
          <w:rFonts w:ascii="宋体" w:hAnsi="宋体" w:cs="Courier New" w:hint="eastAsia"/>
          <w:bCs/>
          <w:color w:val="000000"/>
          <w:szCs w:val="21"/>
        </w:rPr>
        <w:t>开立的活期存款账户（理财卡、储蓄卡或活期存折等）作为交易账户，并出示本人</w:t>
      </w:r>
      <w:bookmarkStart w:id="0" w:name="_GoBack"/>
      <w:bookmarkEnd w:id="0"/>
      <w:r>
        <w:rPr>
          <w:rFonts w:ascii="宋体" w:hAnsi="宋体" w:cs="Courier New" w:hint="eastAsia"/>
          <w:bCs/>
          <w:color w:val="000000"/>
          <w:szCs w:val="21"/>
        </w:rPr>
        <w:t>有效身份证件原件。机构投资者在中国</w:t>
      </w:r>
      <w:r w:rsidR="007A4E7D">
        <w:rPr>
          <w:rFonts w:ascii="宋体" w:hAnsi="宋体" w:cs="Courier New" w:hint="eastAsia"/>
          <w:bCs/>
          <w:color w:val="000000"/>
          <w:szCs w:val="21"/>
        </w:rPr>
        <w:t>建设银行</w:t>
      </w:r>
      <w:r>
        <w:rPr>
          <w:rFonts w:ascii="宋体" w:hAnsi="宋体" w:cs="Courier New" w:hint="eastAsia"/>
          <w:bCs/>
          <w:color w:val="000000"/>
          <w:szCs w:val="21"/>
        </w:rPr>
        <w:t>网点购买代销的理财产品，需持在中国</w:t>
      </w:r>
      <w:r w:rsidR="007A4E7D">
        <w:rPr>
          <w:rFonts w:ascii="宋体" w:hAnsi="宋体" w:cs="Courier New" w:hint="eastAsia"/>
          <w:bCs/>
          <w:color w:val="000000"/>
          <w:szCs w:val="21"/>
        </w:rPr>
        <w:t>建设银行</w:t>
      </w:r>
      <w:r>
        <w:rPr>
          <w:rFonts w:ascii="宋体" w:hAnsi="宋体" w:cs="Courier New" w:hint="eastAsia"/>
          <w:bCs/>
          <w:color w:val="000000"/>
          <w:szCs w:val="21"/>
        </w:rPr>
        <w:t>开立的基本存款账户、一般存款账户等合法账户作为交易介质。机构投资者</w:t>
      </w:r>
      <w:r>
        <w:rPr>
          <w:rFonts w:hint="eastAsia"/>
          <w:color w:val="000000"/>
        </w:rPr>
        <w:t>法定代表人或单位负责人办理，需持</w:t>
      </w:r>
      <w:r>
        <w:rPr>
          <w:rFonts w:ascii="宋体" w:hAnsi="宋体" w:cs="Courier New" w:hint="eastAsia"/>
          <w:bCs/>
          <w:color w:val="000000"/>
          <w:szCs w:val="21"/>
        </w:rPr>
        <w:t>组织机构代码证、营业执照正本复印件、</w:t>
      </w:r>
      <w:r>
        <w:rPr>
          <w:rFonts w:hint="eastAsia"/>
          <w:color w:val="000000"/>
        </w:rPr>
        <w:t>法定代表人或单位负责人有效身份证件原件；</w:t>
      </w:r>
      <w:r>
        <w:rPr>
          <w:rFonts w:ascii="宋体" w:hAnsi="宋体" w:cs="Courier New" w:hint="eastAsia"/>
          <w:bCs/>
          <w:color w:val="000000"/>
          <w:szCs w:val="21"/>
        </w:rPr>
        <w:t>授权其代理人办理时，应由代理人提供组织机构代码证、营业执照正本复印件、授权委托书、代理人有效身份证件原件在开户行对公柜台办理。通过其他渠道（包括但不限于网上银行、手机银行等）购买代销的理财产品须遵从中国</w:t>
      </w:r>
      <w:r w:rsidR="007A4E7D">
        <w:rPr>
          <w:rFonts w:ascii="宋体" w:hAnsi="宋体" w:cs="Courier New" w:hint="eastAsia"/>
          <w:bCs/>
          <w:color w:val="000000"/>
          <w:szCs w:val="21"/>
        </w:rPr>
        <w:t>建设银行</w:t>
      </w:r>
      <w:r>
        <w:rPr>
          <w:rFonts w:ascii="宋体" w:hAnsi="宋体" w:cs="Courier New" w:hint="eastAsia"/>
          <w:bCs/>
          <w:color w:val="000000"/>
          <w:szCs w:val="21"/>
        </w:rPr>
        <w:t>和</w:t>
      </w:r>
      <w:r w:rsidR="007A4E7D">
        <w:rPr>
          <w:rFonts w:ascii="宋体" w:hAnsi="宋体" w:cs="Courier New" w:hint="eastAsia"/>
          <w:bCs/>
          <w:color w:val="000000"/>
          <w:szCs w:val="21"/>
        </w:rPr>
        <w:t>建信理财</w:t>
      </w:r>
      <w:r>
        <w:rPr>
          <w:rFonts w:ascii="宋体" w:hAnsi="宋体" w:cs="Courier New" w:hint="eastAsia"/>
          <w:bCs/>
          <w:color w:val="000000"/>
          <w:szCs w:val="21"/>
        </w:rPr>
        <w:t xml:space="preserve">有限责任公司相关规定。投资者不得使用贷款、发行债券等筹集的非自有资金投资理财产品。   </w:t>
      </w:r>
    </w:p>
    <w:p w14:paraId="5B7785EF" w14:textId="77777777" w:rsidR="00EC7F33" w:rsidRDefault="00B1328A">
      <w:pPr>
        <w:adjustRightInd w:val="0"/>
        <w:snapToGrid w:val="0"/>
        <w:spacing w:line="280" w:lineRule="exact"/>
        <w:ind w:firstLineChars="200" w:firstLine="420"/>
        <w:rPr>
          <w:rFonts w:ascii="宋体" w:hAnsi="宋体" w:cs="Courier New"/>
          <w:bCs/>
          <w:color w:val="000000"/>
          <w:szCs w:val="21"/>
        </w:rPr>
      </w:pPr>
      <w:r>
        <w:rPr>
          <w:rFonts w:ascii="宋体" w:hAnsi="宋体" w:cs="Courier New" w:hint="eastAsia"/>
          <w:bCs/>
          <w:color w:val="000000"/>
          <w:szCs w:val="21"/>
        </w:rPr>
        <w:t>3.</w:t>
      </w:r>
      <w:r>
        <w:rPr>
          <w:rFonts w:hAnsi="宋体" w:cs="宋体" w:hint="eastAsia"/>
          <w:color w:val="000000"/>
          <w:kern w:val="0"/>
          <w:szCs w:val="32"/>
        </w:rPr>
        <w:t>个人投资者</w:t>
      </w:r>
      <w:r>
        <w:rPr>
          <w:rFonts w:ascii="宋体" w:hAnsi="宋体" w:cs="Courier New" w:hint="eastAsia"/>
          <w:bCs/>
          <w:color w:val="000000"/>
          <w:szCs w:val="21"/>
        </w:rPr>
        <w:t>首次在中国</w:t>
      </w:r>
      <w:r w:rsidR="007A4E7D">
        <w:rPr>
          <w:rFonts w:ascii="宋体" w:hAnsi="宋体" w:cs="Courier New" w:hint="eastAsia"/>
          <w:bCs/>
          <w:color w:val="000000"/>
          <w:szCs w:val="21"/>
        </w:rPr>
        <w:t>建设银行</w:t>
      </w:r>
      <w:r>
        <w:rPr>
          <w:rFonts w:ascii="宋体" w:hAnsi="宋体" w:cs="Courier New" w:hint="eastAsia"/>
          <w:bCs/>
          <w:color w:val="000000"/>
          <w:szCs w:val="21"/>
        </w:rPr>
        <w:t>渠道购买</w:t>
      </w:r>
      <w:r w:rsidR="007A4E7D">
        <w:rPr>
          <w:rFonts w:ascii="宋体" w:hAnsi="宋体" w:cs="Courier New" w:hint="eastAsia"/>
          <w:bCs/>
          <w:color w:val="000000"/>
          <w:szCs w:val="21"/>
        </w:rPr>
        <w:t>建信理财</w:t>
      </w:r>
      <w:r>
        <w:rPr>
          <w:rFonts w:ascii="宋体" w:hAnsi="宋体" w:cs="Courier New" w:hint="eastAsia"/>
          <w:bCs/>
          <w:color w:val="000000"/>
          <w:szCs w:val="21"/>
        </w:rPr>
        <w:t>有限责任公司理财产品前，需在中国</w:t>
      </w:r>
      <w:r w:rsidR="007A4E7D">
        <w:rPr>
          <w:rFonts w:ascii="宋体" w:hAnsi="宋体" w:cs="Courier New" w:hint="eastAsia"/>
          <w:bCs/>
          <w:color w:val="000000"/>
          <w:szCs w:val="21"/>
        </w:rPr>
        <w:t>建设银行</w:t>
      </w:r>
      <w:r>
        <w:rPr>
          <w:rFonts w:ascii="宋体" w:hAnsi="宋体" w:cs="Courier New" w:hint="eastAsia"/>
          <w:bCs/>
          <w:color w:val="000000"/>
          <w:szCs w:val="21"/>
        </w:rPr>
        <w:t>网点或适用的电子渠道进行风险承受能力评估，超过一年未进行风险承受能力评估或您的风险承受能力发生变化，再次购买</w:t>
      </w:r>
      <w:r w:rsidR="007A4E7D">
        <w:rPr>
          <w:rFonts w:ascii="宋体" w:hAnsi="宋体" w:cs="Courier New" w:hint="eastAsia"/>
          <w:bCs/>
          <w:color w:val="000000"/>
          <w:szCs w:val="21"/>
        </w:rPr>
        <w:t>建信理财</w:t>
      </w:r>
      <w:r>
        <w:rPr>
          <w:rFonts w:ascii="宋体" w:hAnsi="宋体" w:cs="Courier New" w:hint="eastAsia"/>
          <w:bCs/>
          <w:color w:val="000000"/>
          <w:szCs w:val="21"/>
        </w:rPr>
        <w:t>有限责任公司理财产品时，您需要重新进行评估，请您主动在中国</w:t>
      </w:r>
      <w:r w:rsidR="007A4E7D">
        <w:rPr>
          <w:rFonts w:ascii="宋体" w:hAnsi="宋体" w:cs="Courier New" w:hint="eastAsia"/>
          <w:bCs/>
          <w:color w:val="000000"/>
          <w:szCs w:val="21"/>
        </w:rPr>
        <w:t>建设银行</w:t>
      </w:r>
      <w:r>
        <w:rPr>
          <w:rFonts w:ascii="宋体" w:hAnsi="宋体" w:cs="Courier New" w:hint="eastAsia"/>
          <w:bCs/>
          <w:color w:val="000000"/>
          <w:szCs w:val="21"/>
        </w:rPr>
        <w:t>网点或通过适用的电子渠道进行风险承受能力评估。客户风险评估结果按风险承受能力从弱到强分为5级：C</w:t>
      </w:r>
      <w:r>
        <w:rPr>
          <w:rFonts w:ascii="宋体" w:hAnsi="宋体" w:cs="Courier New"/>
          <w:bCs/>
          <w:color w:val="000000"/>
          <w:szCs w:val="21"/>
        </w:rPr>
        <w:t>1</w:t>
      </w:r>
      <w:r>
        <w:rPr>
          <w:rFonts w:ascii="宋体" w:hAnsi="宋体" w:cs="Courier New" w:hint="eastAsia"/>
          <w:bCs/>
          <w:color w:val="000000"/>
          <w:szCs w:val="21"/>
        </w:rPr>
        <w:t>：保守型、C</w:t>
      </w:r>
      <w:r>
        <w:rPr>
          <w:rFonts w:ascii="宋体" w:hAnsi="宋体" w:cs="Courier New"/>
          <w:bCs/>
          <w:color w:val="000000"/>
          <w:szCs w:val="21"/>
        </w:rPr>
        <w:t>2</w:t>
      </w:r>
      <w:r>
        <w:rPr>
          <w:rFonts w:ascii="宋体" w:hAnsi="宋体" w:cs="Courier New" w:hint="eastAsia"/>
          <w:bCs/>
          <w:color w:val="000000"/>
          <w:szCs w:val="21"/>
        </w:rPr>
        <w:t>：谨慎型、C</w:t>
      </w:r>
      <w:r>
        <w:rPr>
          <w:rFonts w:ascii="宋体" w:hAnsi="宋体" w:cs="Courier New"/>
          <w:bCs/>
          <w:color w:val="000000"/>
          <w:szCs w:val="21"/>
        </w:rPr>
        <w:t>3</w:t>
      </w:r>
      <w:r>
        <w:rPr>
          <w:rFonts w:ascii="宋体" w:hAnsi="宋体" w:cs="Courier New" w:hint="eastAsia"/>
          <w:bCs/>
          <w:color w:val="000000"/>
          <w:szCs w:val="21"/>
        </w:rPr>
        <w:t>：稳健型、C</w:t>
      </w:r>
      <w:r>
        <w:rPr>
          <w:rFonts w:ascii="宋体" w:hAnsi="宋体" w:cs="Courier New"/>
          <w:bCs/>
          <w:color w:val="000000"/>
          <w:szCs w:val="21"/>
        </w:rPr>
        <w:t>4</w:t>
      </w:r>
      <w:r>
        <w:rPr>
          <w:rFonts w:ascii="宋体" w:hAnsi="宋体" w:cs="Courier New" w:hint="eastAsia"/>
          <w:bCs/>
          <w:color w:val="000000"/>
          <w:szCs w:val="21"/>
        </w:rPr>
        <w:t>：进取型、C</w:t>
      </w:r>
      <w:r>
        <w:rPr>
          <w:rFonts w:ascii="宋体" w:hAnsi="宋体" w:cs="Courier New"/>
          <w:bCs/>
          <w:color w:val="000000"/>
          <w:szCs w:val="21"/>
        </w:rPr>
        <w:t>5</w:t>
      </w:r>
      <w:r>
        <w:rPr>
          <w:rFonts w:ascii="宋体" w:hAnsi="宋体" w:cs="Courier New" w:hint="eastAsia"/>
          <w:bCs/>
          <w:color w:val="000000"/>
          <w:szCs w:val="21"/>
        </w:rPr>
        <w:t>：激进型。</w:t>
      </w:r>
      <w:r>
        <w:rPr>
          <w:rFonts w:ascii="宋体" w:hAnsi="宋体" w:cs="Courier New" w:hint="eastAsia"/>
          <w:b/>
          <w:bCs/>
          <w:color w:val="000000"/>
          <w:szCs w:val="21"/>
        </w:rPr>
        <w:t>请您根据您的风险承受能力评估结果选择与</w:t>
      </w:r>
      <w:proofErr w:type="gramStart"/>
      <w:r>
        <w:rPr>
          <w:rFonts w:ascii="宋体" w:hAnsi="宋体" w:cs="Courier New" w:hint="eastAsia"/>
          <w:b/>
          <w:bCs/>
          <w:color w:val="000000"/>
          <w:szCs w:val="21"/>
        </w:rPr>
        <w:t>您风险</w:t>
      </w:r>
      <w:proofErr w:type="gramEnd"/>
      <w:r>
        <w:rPr>
          <w:rFonts w:ascii="宋体" w:hAnsi="宋体" w:cs="Courier New" w:hint="eastAsia"/>
          <w:b/>
          <w:bCs/>
          <w:color w:val="000000"/>
          <w:szCs w:val="21"/>
        </w:rPr>
        <w:t>承受能力相匹配的理财产品。您的风险承受能力评估结果应以您在购买理财产品前的最近一次有效评估结果为准，请您参考该次评估结果来选择与</w:t>
      </w:r>
      <w:proofErr w:type="gramStart"/>
      <w:r>
        <w:rPr>
          <w:rFonts w:ascii="宋体" w:hAnsi="宋体" w:cs="Courier New" w:hint="eastAsia"/>
          <w:b/>
          <w:bCs/>
          <w:color w:val="000000"/>
          <w:szCs w:val="21"/>
        </w:rPr>
        <w:t>您风险</w:t>
      </w:r>
      <w:proofErr w:type="gramEnd"/>
      <w:r>
        <w:rPr>
          <w:rFonts w:ascii="宋体" w:hAnsi="宋体" w:cs="Courier New" w:hint="eastAsia"/>
          <w:b/>
          <w:bCs/>
          <w:color w:val="000000"/>
          <w:szCs w:val="21"/>
        </w:rPr>
        <w:t>承受能力相匹配的理财产品。如果您在理财产品持有期间发生风险承受能力变化，导致您购买的理财产品与您自身风险承受能力不匹配的，对于</w:t>
      </w:r>
      <w:proofErr w:type="gramStart"/>
      <w:r>
        <w:rPr>
          <w:rFonts w:ascii="宋体" w:hAnsi="宋体" w:cs="Courier New" w:hint="eastAsia"/>
          <w:b/>
          <w:bCs/>
          <w:color w:val="000000"/>
          <w:szCs w:val="21"/>
        </w:rPr>
        <w:t>您依据</w:t>
      </w:r>
      <w:proofErr w:type="gramEnd"/>
      <w:r>
        <w:rPr>
          <w:rFonts w:ascii="宋体" w:hAnsi="宋体" w:cs="Courier New" w:hint="eastAsia"/>
          <w:b/>
          <w:bCs/>
          <w:color w:val="000000"/>
          <w:szCs w:val="21"/>
        </w:rPr>
        <w:t>产品说明书约定有权提前赎回的理财产品，建议您尽快赎回；但是，对于</w:t>
      </w:r>
      <w:proofErr w:type="gramStart"/>
      <w:r>
        <w:rPr>
          <w:rFonts w:ascii="宋体" w:hAnsi="宋体" w:cs="Courier New" w:hint="eastAsia"/>
          <w:b/>
          <w:bCs/>
          <w:color w:val="000000"/>
          <w:szCs w:val="21"/>
        </w:rPr>
        <w:t>您依据</w:t>
      </w:r>
      <w:proofErr w:type="gramEnd"/>
      <w:r>
        <w:rPr>
          <w:rFonts w:ascii="宋体" w:hAnsi="宋体" w:cs="Courier New" w:hint="eastAsia"/>
          <w:b/>
          <w:bCs/>
          <w:color w:val="000000"/>
          <w:szCs w:val="21"/>
        </w:rPr>
        <w:t xml:space="preserve">产品说明书约定没有权利提前赎回的理财产品，您将无权以风险承受能力不再匹配为由进行赎回，所以，请您在投资前审慎决策。 </w:t>
      </w:r>
    </w:p>
    <w:p w14:paraId="1359F6B9" w14:textId="77777777" w:rsidR="00EC7F33" w:rsidRDefault="007A4E7D">
      <w:pPr>
        <w:adjustRightInd w:val="0"/>
        <w:snapToGrid w:val="0"/>
        <w:spacing w:afterLines="10" w:after="31" w:line="280" w:lineRule="exact"/>
        <w:ind w:firstLineChars="200" w:firstLine="420"/>
        <w:rPr>
          <w:rFonts w:ascii="宋体" w:hAnsi="宋体" w:cs="Courier New"/>
          <w:bCs/>
          <w:color w:val="000000"/>
          <w:szCs w:val="21"/>
        </w:rPr>
      </w:pPr>
      <w:r>
        <w:rPr>
          <w:rFonts w:ascii="宋体" w:hAnsi="宋体" w:cs="Courier New" w:hint="eastAsia"/>
          <w:bCs/>
          <w:color w:val="000000"/>
          <w:szCs w:val="21"/>
        </w:rPr>
        <w:t>建信理财</w:t>
      </w:r>
      <w:r w:rsidR="00B1328A">
        <w:rPr>
          <w:rFonts w:ascii="宋体" w:hAnsi="宋体" w:cs="Courier New" w:hint="eastAsia"/>
          <w:bCs/>
          <w:color w:val="000000"/>
          <w:szCs w:val="21"/>
        </w:rPr>
        <w:t>有限责任公司理财产品风险评级及所适用的个人投资者具体说明如下表，理财产品风险评级具体说明</w:t>
      </w:r>
      <w:proofErr w:type="gramStart"/>
      <w:r w:rsidR="00B1328A">
        <w:rPr>
          <w:rFonts w:ascii="宋体" w:hAnsi="宋体" w:cs="Courier New" w:hint="eastAsia"/>
          <w:bCs/>
          <w:color w:val="000000"/>
          <w:szCs w:val="21"/>
        </w:rPr>
        <w:t>见风险</w:t>
      </w:r>
      <w:proofErr w:type="gramEnd"/>
      <w:r w:rsidR="00B1328A">
        <w:rPr>
          <w:rFonts w:ascii="宋体" w:hAnsi="宋体" w:cs="Courier New" w:hint="eastAsia"/>
          <w:bCs/>
          <w:color w:val="000000"/>
          <w:szCs w:val="21"/>
        </w:rPr>
        <w:t>揭示书。产品评级为</w:t>
      </w:r>
      <w:r>
        <w:rPr>
          <w:rFonts w:ascii="宋体" w:hAnsi="宋体" w:cs="Courier New" w:hint="eastAsia"/>
          <w:bCs/>
          <w:color w:val="000000"/>
          <w:szCs w:val="21"/>
        </w:rPr>
        <w:t>建信理财</w:t>
      </w:r>
      <w:r w:rsidR="00B1328A">
        <w:rPr>
          <w:rFonts w:ascii="宋体" w:hAnsi="宋体" w:cs="Courier New" w:hint="eastAsia"/>
          <w:bCs/>
          <w:color w:val="000000"/>
          <w:szCs w:val="21"/>
        </w:rPr>
        <w:t>有限责任公司基于投资品种期限、信用等级等相关要素做出的内部评级结果。该评级仅供您参考，不具备对收益</w:t>
      </w:r>
      <w:proofErr w:type="gramStart"/>
      <w:r w:rsidR="00B1328A">
        <w:rPr>
          <w:rFonts w:ascii="宋体" w:hAnsi="宋体" w:cs="Courier New" w:hint="eastAsia"/>
          <w:bCs/>
          <w:color w:val="000000"/>
          <w:szCs w:val="21"/>
        </w:rPr>
        <w:t>作出</w:t>
      </w:r>
      <w:proofErr w:type="gramEnd"/>
      <w:r w:rsidR="00B1328A">
        <w:rPr>
          <w:rFonts w:ascii="宋体" w:hAnsi="宋体" w:cs="Courier New" w:hint="eastAsia"/>
          <w:bCs/>
          <w:color w:val="000000"/>
          <w:szCs w:val="21"/>
        </w:rPr>
        <w:t>任何保证或承诺的法律效力。</w:t>
      </w:r>
    </w:p>
    <w:tbl>
      <w:tblPr>
        <w:tblW w:w="0" w:type="auto"/>
        <w:jc w:val="center"/>
        <w:tblLayout w:type="fixed"/>
        <w:tblCellMar>
          <w:left w:w="0" w:type="dxa"/>
          <w:right w:w="0" w:type="dxa"/>
        </w:tblCellMar>
        <w:tblLook w:val="04A0" w:firstRow="1" w:lastRow="0" w:firstColumn="1" w:lastColumn="0" w:noHBand="0" w:noVBand="1"/>
      </w:tblPr>
      <w:tblGrid>
        <w:gridCol w:w="2410"/>
        <w:gridCol w:w="2268"/>
        <w:gridCol w:w="5346"/>
      </w:tblGrid>
      <w:tr w:rsidR="00EC7F33" w14:paraId="25D78401" w14:textId="77777777">
        <w:trPr>
          <w:trHeight w:val="840"/>
          <w:jc w:val="center"/>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5AC2F6" w14:textId="77777777" w:rsidR="00EC7F33" w:rsidRDefault="00B1328A">
            <w:pPr>
              <w:spacing w:beforeLines="50" w:before="156" w:afterLines="50" w:after="156" w:line="280" w:lineRule="exact"/>
              <w:jc w:val="center"/>
              <w:rPr>
                <w:rFonts w:ascii="黑体" w:eastAsia="黑体" w:hAnsi="黑体"/>
                <w:b/>
                <w:bCs/>
                <w:color w:val="000000"/>
                <w:sz w:val="18"/>
                <w:szCs w:val="18"/>
              </w:rPr>
            </w:pPr>
            <w:r>
              <w:rPr>
                <w:rFonts w:ascii="黑体" w:eastAsia="黑体" w:hAnsi="黑体" w:hint="eastAsia"/>
                <w:b/>
                <w:bCs/>
                <w:color w:val="000000"/>
                <w:sz w:val="18"/>
                <w:szCs w:val="18"/>
              </w:rPr>
              <w:t>风险标识</w:t>
            </w:r>
          </w:p>
        </w:tc>
        <w:tc>
          <w:tcPr>
            <w:tcW w:w="22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F65A92" w14:textId="77777777" w:rsidR="00EC7F33" w:rsidRDefault="00B1328A">
            <w:pPr>
              <w:spacing w:beforeLines="50" w:before="156" w:afterLines="50" w:after="156" w:line="280" w:lineRule="exact"/>
              <w:jc w:val="center"/>
              <w:rPr>
                <w:rFonts w:ascii="黑体" w:eastAsia="黑体" w:hAnsi="黑体"/>
                <w:b/>
                <w:bCs/>
                <w:color w:val="000000"/>
                <w:sz w:val="18"/>
                <w:szCs w:val="18"/>
              </w:rPr>
            </w:pPr>
            <w:r>
              <w:rPr>
                <w:rFonts w:ascii="黑体" w:eastAsia="黑体" w:hAnsi="黑体" w:hint="eastAsia"/>
                <w:b/>
                <w:bCs/>
                <w:color w:val="000000"/>
                <w:sz w:val="18"/>
                <w:szCs w:val="18"/>
              </w:rPr>
              <w:t>风险等级说明</w:t>
            </w:r>
          </w:p>
        </w:tc>
        <w:tc>
          <w:tcPr>
            <w:tcW w:w="5346" w:type="dxa"/>
            <w:tcBorders>
              <w:top w:val="single" w:sz="4" w:space="0" w:color="auto"/>
              <w:left w:val="nil"/>
              <w:bottom w:val="single" w:sz="4" w:space="0" w:color="auto"/>
              <w:right w:val="single" w:sz="4" w:space="0" w:color="auto"/>
            </w:tcBorders>
            <w:vAlign w:val="center"/>
          </w:tcPr>
          <w:p w14:paraId="0EFD489E" w14:textId="77777777" w:rsidR="00EC7F33" w:rsidRDefault="00B1328A">
            <w:pPr>
              <w:spacing w:beforeLines="50" w:before="156" w:afterLines="50" w:after="156" w:line="280" w:lineRule="exact"/>
              <w:jc w:val="center"/>
              <w:rPr>
                <w:rFonts w:ascii="黑体" w:eastAsia="黑体" w:hAnsi="黑体"/>
                <w:b/>
                <w:bCs/>
                <w:color w:val="000000"/>
                <w:sz w:val="18"/>
                <w:szCs w:val="18"/>
              </w:rPr>
            </w:pPr>
            <w:r>
              <w:rPr>
                <w:rFonts w:ascii="黑体" w:eastAsia="黑体" w:hAnsi="黑体" w:hint="eastAsia"/>
                <w:b/>
                <w:bCs/>
                <w:color w:val="000000"/>
                <w:sz w:val="18"/>
                <w:szCs w:val="18"/>
              </w:rPr>
              <w:t>适用群体</w:t>
            </w:r>
          </w:p>
        </w:tc>
      </w:tr>
      <w:tr w:rsidR="00EC7F33" w14:paraId="1A867E97" w14:textId="77777777">
        <w:trPr>
          <w:trHeight w:val="840"/>
          <w:jc w:val="center"/>
        </w:trPr>
        <w:tc>
          <w:tcPr>
            <w:tcW w:w="24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EFF374" w14:textId="77777777" w:rsidR="00EC7F33" w:rsidRDefault="00B1328A">
            <w:pPr>
              <w:spacing w:line="280" w:lineRule="exact"/>
              <w:jc w:val="center"/>
              <w:rPr>
                <w:rFonts w:ascii="宋体" w:hAnsi="宋体"/>
                <w:bCs/>
                <w:color w:val="000000"/>
                <w:sz w:val="18"/>
                <w:szCs w:val="18"/>
              </w:rPr>
            </w:pPr>
            <w:r>
              <w:rPr>
                <w:rFonts w:ascii="宋体" w:hAnsi="宋体"/>
                <w:noProof/>
                <w:color w:val="000000"/>
                <w:sz w:val="18"/>
                <w:szCs w:val="18"/>
              </w:rPr>
              <w:drawing>
                <wp:inline distT="0" distB="0" distL="0" distR="0" wp14:anchorId="05374210" wp14:editId="33EE1C21">
                  <wp:extent cx="190500" cy="1905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268" w:type="dxa"/>
            <w:tcBorders>
              <w:top w:val="nil"/>
              <w:left w:val="nil"/>
              <w:bottom w:val="single" w:sz="4" w:space="0" w:color="auto"/>
              <w:right w:val="single" w:sz="4" w:space="0" w:color="auto"/>
            </w:tcBorders>
            <w:tcMar>
              <w:top w:w="15" w:type="dxa"/>
              <w:left w:w="15" w:type="dxa"/>
              <w:bottom w:w="0" w:type="dxa"/>
              <w:right w:w="15" w:type="dxa"/>
            </w:tcMar>
            <w:vAlign w:val="center"/>
          </w:tcPr>
          <w:p w14:paraId="2B5B81DB"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风险极低</w:t>
            </w:r>
          </w:p>
        </w:tc>
        <w:tc>
          <w:tcPr>
            <w:tcW w:w="5346" w:type="dxa"/>
            <w:tcBorders>
              <w:top w:val="nil"/>
              <w:left w:val="nil"/>
              <w:bottom w:val="single" w:sz="4" w:space="0" w:color="auto"/>
              <w:right w:val="single" w:sz="4" w:space="0" w:color="auto"/>
            </w:tcBorders>
            <w:vAlign w:val="center"/>
          </w:tcPr>
          <w:p w14:paraId="70918ACB"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保守型、谨慎型、稳健型、进取型、激进型</w:t>
            </w:r>
          </w:p>
        </w:tc>
      </w:tr>
      <w:tr w:rsidR="00EC7F33" w14:paraId="22F720D9" w14:textId="77777777">
        <w:trPr>
          <w:trHeight w:val="840"/>
          <w:jc w:val="center"/>
        </w:trPr>
        <w:tc>
          <w:tcPr>
            <w:tcW w:w="24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B32F9D" w14:textId="77777777" w:rsidR="00EC7F33" w:rsidRDefault="00B1328A">
            <w:pPr>
              <w:spacing w:line="280" w:lineRule="exact"/>
              <w:jc w:val="center"/>
              <w:rPr>
                <w:rFonts w:ascii="宋体" w:hAnsi="宋体"/>
                <w:bCs/>
                <w:color w:val="000000"/>
                <w:sz w:val="18"/>
                <w:szCs w:val="18"/>
              </w:rPr>
            </w:pPr>
            <w:r>
              <w:rPr>
                <w:rFonts w:ascii="宋体" w:hAnsi="宋体"/>
                <w:noProof/>
                <w:color w:val="000000"/>
                <w:sz w:val="18"/>
                <w:szCs w:val="18"/>
              </w:rPr>
              <w:drawing>
                <wp:inline distT="0" distB="0" distL="0" distR="0" wp14:anchorId="50BA004B" wp14:editId="0AAA2314">
                  <wp:extent cx="190500" cy="190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3C1063F9" wp14:editId="5BD819A7">
                  <wp:extent cx="190500" cy="190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268" w:type="dxa"/>
            <w:tcBorders>
              <w:top w:val="nil"/>
              <w:left w:val="nil"/>
              <w:bottom w:val="single" w:sz="4" w:space="0" w:color="auto"/>
              <w:right w:val="single" w:sz="4" w:space="0" w:color="auto"/>
            </w:tcBorders>
            <w:tcMar>
              <w:top w:w="15" w:type="dxa"/>
              <w:left w:w="15" w:type="dxa"/>
              <w:bottom w:w="0" w:type="dxa"/>
              <w:right w:w="15" w:type="dxa"/>
            </w:tcMar>
            <w:vAlign w:val="center"/>
          </w:tcPr>
          <w:p w14:paraId="59365BD2"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较低风险</w:t>
            </w:r>
          </w:p>
        </w:tc>
        <w:tc>
          <w:tcPr>
            <w:tcW w:w="5346" w:type="dxa"/>
            <w:tcBorders>
              <w:top w:val="nil"/>
              <w:left w:val="nil"/>
              <w:bottom w:val="single" w:sz="4" w:space="0" w:color="auto"/>
              <w:right w:val="single" w:sz="4" w:space="0" w:color="auto"/>
            </w:tcBorders>
            <w:vAlign w:val="center"/>
          </w:tcPr>
          <w:p w14:paraId="156D7390"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谨慎型、稳健型、进取型、激进型</w:t>
            </w:r>
          </w:p>
        </w:tc>
      </w:tr>
      <w:tr w:rsidR="00EC7F33" w14:paraId="7EAB275A" w14:textId="77777777">
        <w:trPr>
          <w:trHeight w:val="840"/>
          <w:jc w:val="center"/>
        </w:trPr>
        <w:tc>
          <w:tcPr>
            <w:tcW w:w="24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B3EDE2" w14:textId="77777777" w:rsidR="00EC7F33" w:rsidRDefault="00B1328A">
            <w:pPr>
              <w:spacing w:line="280" w:lineRule="exact"/>
              <w:jc w:val="center"/>
              <w:rPr>
                <w:rFonts w:ascii="宋体" w:hAnsi="宋体"/>
                <w:bCs/>
                <w:color w:val="000000"/>
                <w:sz w:val="18"/>
                <w:szCs w:val="18"/>
              </w:rPr>
            </w:pPr>
            <w:r>
              <w:rPr>
                <w:rFonts w:ascii="宋体" w:hAnsi="宋体"/>
                <w:noProof/>
                <w:color w:val="000000"/>
                <w:sz w:val="18"/>
                <w:szCs w:val="18"/>
              </w:rPr>
              <w:drawing>
                <wp:inline distT="0" distB="0" distL="0" distR="0" wp14:anchorId="0C5CFF7A" wp14:editId="66C19CB2">
                  <wp:extent cx="190500" cy="190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2CA54D67" wp14:editId="5C97421B">
                  <wp:extent cx="190500" cy="190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31CFEFE9" wp14:editId="113378EA">
                  <wp:extent cx="190500" cy="1905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268" w:type="dxa"/>
            <w:tcBorders>
              <w:top w:val="nil"/>
              <w:left w:val="nil"/>
              <w:bottom w:val="single" w:sz="4" w:space="0" w:color="auto"/>
              <w:right w:val="single" w:sz="4" w:space="0" w:color="auto"/>
            </w:tcBorders>
            <w:tcMar>
              <w:top w:w="15" w:type="dxa"/>
              <w:left w:w="15" w:type="dxa"/>
              <w:bottom w:w="0" w:type="dxa"/>
              <w:right w:w="15" w:type="dxa"/>
            </w:tcMar>
            <w:vAlign w:val="center"/>
          </w:tcPr>
          <w:p w14:paraId="7AB9FB1F"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中等风险</w:t>
            </w:r>
          </w:p>
        </w:tc>
        <w:tc>
          <w:tcPr>
            <w:tcW w:w="5346" w:type="dxa"/>
            <w:tcBorders>
              <w:top w:val="nil"/>
              <w:left w:val="nil"/>
              <w:bottom w:val="single" w:sz="4" w:space="0" w:color="auto"/>
              <w:right w:val="single" w:sz="4" w:space="0" w:color="auto"/>
            </w:tcBorders>
            <w:vAlign w:val="center"/>
          </w:tcPr>
          <w:p w14:paraId="4BE3D690"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稳健型、进取型、激进型</w:t>
            </w:r>
          </w:p>
        </w:tc>
      </w:tr>
      <w:tr w:rsidR="00EC7F33" w14:paraId="5D8E07B4" w14:textId="77777777">
        <w:trPr>
          <w:trHeight w:val="840"/>
          <w:jc w:val="center"/>
        </w:trPr>
        <w:tc>
          <w:tcPr>
            <w:tcW w:w="24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11AE1F" w14:textId="77777777" w:rsidR="00EC7F33" w:rsidRDefault="00B1328A">
            <w:pPr>
              <w:spacing w:line="280" w:lineRule="exact"/>
              <w:jc w:val="center"/>
              <w:rPr>
                <w:rFonts w:ascii="宋体" w:hAnsi="宋体"/>
                <w:bCs/>
                <w:color w:val="000000"/>
                <w:sz w:val="18"/>
                <w:szCs w:val="18"/>
              </w:rPr>
            </w:pPr>
            <w:r>
              <w:rPr>
                <w:rFonts w:ascii="宋体" w:hAnsi="宋体"/>
                <w:noProof/>
                <w:color w:val="000000"/>
                <w:sz w:val="18"/>
                <w:szCs w:val="18"/>
              </w:rPr>
              <w:drawing>
                <wp:inline distT="0" distB="0" distL="0" distR="0" wp14:anchorId="7EB2767B" wp14:editId="1F7845D8">
                  <wp:extent cx="190500" cy="190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641C3E5E" wp14:editId="2A918041">
                  <wp:extent cx="190500" cy="190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2AF20ADE" wp14:editId="2297A48B">
                  <wp:extent cx="190500" cy="1905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2E901D52" wp14:editId="69C1AECC">
                  <wp:extent cx="190500" cy="1905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268" w:type="dxa"/>
            <w:tcBorders>
              <w:top w:val="nil"/>
              <w:left w:val="nil"/>
              <w:bottom w:val="single" w:sz="4" w:space="0" w:color="auto"/>
              <w:right w:val="single" w:sz="4" w:space="0" w:color="auto"/>
            </w:tcBorders>
            <w:tcMar>
              <w:top w:w="15" w:type="dxa"/>
              <w:left w:w="15" w:type="dxa"/>
              <w:bottom w:w="0" w:type="dxa"/>
              <w:right w:w="15" w:type="dxa"/>
            </w:tcMar>
            <w:vAlign w:val="center"/>
          </w:tcPr>
          <w:p w14:paraId="4C5189A4"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较高风险</w:t>
            </w:r>
          </w:p>
        </w:tc>
        <w:tc>
          <w:tcPr>
            <w:tcW w:w="5346" w:type="dxa"/>
            <w:tcBorders>
              <w:top w:val="nil"/>
              <w:left w:val="nil"/>
              <w:bottom w:val="single" w:sz="4" w:space="0" w:color="auto"/>
              <w:right w:val="single" w:sz="4" w:space="0" w:color="auto"/>
            </w:tcBorders>
            <w:vAlign w:val="center"/>
          </w:tcPr>
          <w:p w14:paraId="6F1A4320"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进取型、激进型</w:t>
            </w:r>
          </w:p>
        </w:tc>
      </w:tr>
      <w:tr w:rsidR="00EC7F33" w14:paraId="79BDCE66" w14:textId="77777777">
        <w:trPr>
          <w:trHeight w:val="840"/>
          <w:jc w:val="center"/>
        </w:trPr>
        <w:tc>
          <w:tcPr>
            <w:tcW w:w="24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CA5F94" w14:textId="77777777" w:rsidR="00EC7F33" w:rsidRDefault="00B1328A">
            <w:pPr>
              <w:spacing w:line="280" w:lineRule="exact"/>
              <w:jc w:val="center"/>
              <w:rPr>
                <w:rFonts w:ascii="宋体" w:hAnsi="宋体"/>
                <w:bCs/>
                <w:color w:val="000000"/>
                <w:sz w:val="18"/>
                <w:szCs w:val="18"/>
              </w:rPr>
            </w:pPr>
            <w:r>
              <w:rPr>
                <w:rFonts w:ascii="宋体" w:hAnsi="宋体"/>
                <w:noProof/>
                <w:color w:val="000000"/>
                <w:sz w:val="18"/>
                <w:szCs w:val="18"/>
              </w:rPr>
              <w:drawing>
                <wp:inline distT="0" distB="0" distL="0" distR="0" wp14:anchorId="465BCA69" wp14:editId="4A70F31D">
                  <wp:extent cx="190500" cy="1905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6A2B789F" wp14:editId="20BF6AD8">
                  <wp:extent cx="190500" cy="1905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6A729657" wp14:editId="48FE7872">
                  <wp:extent cx="190500" cy="1905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655F9C62" wp14:editId="1FFF35D1">
                  <wp:extent cx="190500" cy="1905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1CC06114" wp14:editId="1B59010D">
                  <wp:extent cx="190500" cy="1905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268" w:type="dxa"/>
            <w:tcBorders>
              <w:top w:val="nil"/>
              <w:left w:val="nil"/>
              <w:bottom w:val="single" w:sz="4" w:space="0" w:color="auto"/>
              <w:right w:val="single" w:sz="4" w:space="0" w:color="auto"/>
            </w:tcBorders>
            <w:tcMar>
              <w:top w:w="15" w:type="dxa"/>
              <w:left w:w="15" w:type="dxa"/>
              <w:bottom w:w="0" w:type="dxa"/>
              <w:right w:w="15" w:type="dxa"/>
            </w:tcMar>
            <w:vAlign w:val="center"/>
          </w:tcPr>
          <w:p w14:paraId="6AC18CC6"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高风险</w:t>
            </w:r>
          </w:p>
        </w:tc>
        <w:tc>
          <w:tcPr>
            <w:tcW w:w="5346" w:type="dxa"/>
            <w:tcBorders>
              <w:top w:val="nil"/>
              <w:left w:val="nil"/>
              <w:bottom w:val="single" w:sz="4" w:space="0" w:color="auto"/>
              <w:right w:val="single" w:sz="4" w:space="0" w:color="auto"/>
            </w:tcBorders>
            <w:vAlign w:val="center"/>
          </w:tcPr>
          <w:p w14:paraId="1E428A3B" w14:textId="77777777" w:rsidR="00EC7F33" w:rsidRDefault="00B1328A">
            <w:pPr>
              <w:spacing w:line="280" w:lineRule="exact"/>
              <w:jc w:val="center"/>
              <w:rPr>
                <w:rFonts w:ascii="宋体" w:hAnsi="宋体"/>
                <w:bCs/>
                <w:color w:val="000000"/>
                <w:sz w:val="18"/>
                <w:szCs w:val="18"/>
              </w:rPr>
            </w:pPr>
            <w:r>
              <w:rPr>
                <w:rFonts w:ascii="宋体" w:hAnsi="宋体" w:hint="eastAsia"/>
                <w:bCs/>
                <w:color w:val="000000"/>
                <w:sz w:val="18"/>
                <w:szCs w:val="18"/>
              </w:rPr>
              <w:t>激进型</w:t>
            </w:r>
          </w:p>
        </w:tc>
      </w:tr>
    </w:tbl>
    <w:p w14:paraId="01A41E83" w14:textId="77777777" w:rsidR="00EC7F33" w:rsidRDefault="00B1328A">
      <w:pPr>
        <w:adjustRightInd w:val="0"/>
        <w:snapToGrid w:val="0"/>
        <w:spacing w:line="280" w:lineRule="exact"/>
        <w:ind w:firstLineChars="200" w:firstLine="420"/>
        <w:rPr>
          <w:rFonts w:ascii="宋体" w:hAnsi="宋体" w:cs="Courier New"/>
          <w:bCs/>
          <w:color w:val="000000"/>
          <w:szCs w:val="21"/>
        </w:rPr>
      </w:pPr>
      <w:r>
        <w:rPr>
          <w:rFonts w:ascii="宋体" w:hAnsi="宋体" w:cs="Courier New" w:hint="eastAsia"/>
          <w:bCs/>
          <w:color w:val="000000"/>
          <w:szCs w:val="21"/>
        </w:rPr>
        <w:t>4.</w:t>
      </w:r>
      <w:r w:rsidR="007A4E7D">
        <w:rPr>
          <w:rFonts w:ascii="宋体" w:hAnsi="宋体" w:cs="Courier New" w:hint="eastAsia"/>
          <w:bCs/>
          <w:color w:val="000000"/>
          <w:szCs w:val="21"/>
        </w:rPr>
        <w:t>建信理财</w:t>
      </w:r>
      <w:r>
        <w:rPr>
          <w:rFonts w:ascii="宋体" w:hAnsi="宋体" w:cs="Courier New" w:hint="eastAsia"/>
          <w:bCs/>
          <w:color w:val="000000"/>
          <w:szCs w:val="21"/>
        </w:rPr>
        <w:t>有限责任公司将按照产品说明书具体约定的方式、渠道和频率披露产品信息，请您仔细阅读。</w:t>
      </w:r>
    </w:p>
    <w:p w14:paraId="10333A05"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5</w:t>
      </w:r>
      <w:r w:rsidRPr="00B97D65">
        <w:rPr>
          <w:rFonts w:ascii="宋体" w:hAnsi="宋体" w:cs="Courier New"/>
          <w:bCs/>
          <w:color w:val="000000"/>
          <w:szCs w:val="21"/>
        </w:rPr>
        <w:t>.</w:t>
      </w:r>
      <w:r w:rsidRPr="00B97D65">
        <w:rPr>
          <w:rFonts w:ascii="宋体" w:hAnsi="宋体" w:cs="Courier New" w:hint="eastAsia"/>
          <w:bCs/>
          <w:color w:val="000000"/>
          <w:szCs w:val="21"/>
        </w:rPr>
        <w:t>参与主体：</w:t>
      </w:r>
    </w:p>
    <w:p w14:paraId="18458EA9"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产品管理人：建信理财有限责任公司</w:t>
      </w:r>
    </w:p>
    <w:p w14:paraId="3F7EBB41"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lastRenderedPageBreak/>
        <w:t>产品托管人/代销机构：中国建设银行</w:t>
      </w:r>
    </w:p>
    <w:p w14:paraId="7BE2843D"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6.联系方式：</w:t>
      </w:r>
    </w:p>
    <w:p w14:paraId="3BF81597"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建信理财有限责任公司：</w:t>
      </w:r>
    </w:p>
    <w:p w14:paraId="37611E65"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地址：深圳市福田区</w:t>
      </w:r>
      <w:r>
        <w:rPr>
          <w:rFonts w:ascii="宋体" w:hAnsi="宋体" w:cs="Courier New" w:hint="eastAsia"/>
          <w:bCs/>
          <w:color w:val="000000"/>
          <w:szCs w:val="21"/>
        </w:rPr>
        <w:t>福田街道福安社区益田路5</w:t>
      </w:r>
      <w:r>
        <w:rPr>
          <w:rFonts w:ascii="宋体" w:hAnsi="宋体" w:cs="Courier New"/>
          <w:bCs/>
          <w:color w:val="000000"/>
          <w:szCs w:val="21"/>
        </w:rPr>
        <w:t>033</w:t>
      </w:r>
      <w:r>
        <w:rPr>
          <w:rFonts w:ascii="宋体" w:hAnsi="宋体" w:cs="Courier New" w:hint="eastAsia"/>
          <w:bCs/>
          <w:color w:val="000000"/>
          <w:szCs w:val="21"/>
        </w:rPr>
        <w:t>号平安金融中心8</w:t>
      </w:r>
      <w:r>
        <w:rPr>
          <w:rFonts w:ascii="宋体" w:hAnsi="宋体" w:cs="Courier New"/>
          <w:bCs/>
          <w:color w:val="000000"/>
          <w:szCs w:val="21"/>
        </w:rPr>
        <w:t>9</w:t>
      </w:r>
      <w:r>
        <w:rPr>
          <w:rFonts w:ascii="宋体" w:hAnsi="宋体" w:cs="Courier New" w:hint="eastAsia"/>
          <w:bCs/>
          <w:color w:val="000000"/>
          <w:szCs w:val="21"/>
        </w:rPr>
        <w:t>层-</w:t>
      </w:r>
      <w:r>
        <w:rPr>
          <w:rFonts w:ascii="宋体" w:hAnsi="宋体" w:cs="Courier New"/>
          <w:bCs/>
          <w:color w:val="000000"/>
          <w:szCs w:val="21"/>
        </w:rPr>
        <w:t>92</w:t>
      </w:r>
      <w:r>
        <w:rPr>
          <w:rFonts w:ascii="宋体" w:hAnsi="宋体" w:cs="Courier New" w:hint="eastAsia"/>
          <w:bCs/>
          <w:color w:val="000000"/>
          <w:szCs w:val="21"/>
        </w:rPr>
        <w:t>层</w:t>
      </w:r>
    </w:p>
    <w:p w14:paraId="23D7C8AF"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中国建设银行：</w:t>
      </w:r>
    </w:p>
    <w:p w14:paraId="283A99B3" w14:textId="77777777" w:rsidR="007A4E7D" w:rsidRPr="00B97D65" w:rsidRDefault="007A4E7D" w:rsidP="007A4E7D">
      <w:pPr>
        <w:adjustRightInd w:val="0"/>
        <w:snapToGrid w:val="0"/>
        <w:spacing w:line="280" w:lineRule="exact"/>
        <w:ind w:firstLineChars="200" w:firstLine="420"/>
        <w:rPr>
          <w:rFonts w:ascii="宋体" w:hAnsi="宋体" w:cs="Courier New"/>
          <w:bCs/>
          <w:color w:val="000000"/>
          <w:szCs w:val="21"/>
        </w:rPr>
      </w:pPr>
      <w:r w:rsidRPr="00B97D65">
        <w:rPr>
          <w:rFonts w:ascii="宋体" w:hAnsi="宋体" w:cs="Courier New" w:hint="eastAsia"/>
          <w:bCs/>
          <w:color w:val="000000"/>
          <w:szCs w:val="21"/>
        </w:rPr>
        <w:t>网址：</w:t>
      </w:r>
      <w:hyperlink w:history="1"/>
      <w:r w:rsidRPr="00B97D65">
        <w:rPr>
          <w:rFonts w:ascii="宋体" w:hAnsi="宋体" w:cs="Courier New"/>
          <w:bCs/>
          <w:color w:val="000000"/>
          <w:szCs w:val="21"/>
        </w:rPr>
        <w:t>www.ccb.com</w:t>
      </w:r>
      <w:r w:rsidRPr="00B97D65">
        <w:rPr>
          <w:rFonts w:ascii="宋体" w:hAnsi="宋体" w:cs="Courier New" w:hint="eastAsia"/>
          <w:bCs/>
          <w:color w:val="000000"/>
          <w:szCs w:val="21"/>
        </w:rPr>
        <w:t xml:space="preserve">    投诉及咨询热线：95533  手机银行地址：wap.ccb.com</w:t>
      </w:r>
    </w:p>
    <w:p w14:paraId="6B271D60" w14:textId="77777777" w:rsidR="007A4E7D" w:rsidRPr="00B97D65" w:rsidRDefault="007A4E7D" w:rsidP="007A4E7D">
      <w:pPr>
        <w:adjustRightInd w:val="0"/>
        <w:snapToGrid w:val="0"/>
        <w:spacing w:line="280" w:lineRule="exact"/>
        <w:ind w:firstLineChars="200" w:firstLine="420"/>
        <w:rPr>
          <w:color w:val="000000"/>
        </w:rPr>
      </w:pPr>
      <w:r w:rsidRPr="00B97D65">
        <w:rPr>
          <w:rFonts w:ascii="宋体" w:hAnsi="宋体" w:cs="Courier New" w:hint="eastAsia"/>
          <w:bCs/>
          <w:color w:val="000000"/>
          <w:szCs w:val="21"/>
        </w:rPr>
        <w:t>7.如您对本理财产品、建信理财有限责任公司以及中国建设银行服务有任何意见和建议，可通过中国建设银行营业网点工作人员、</w:t>
      </w:r>
      <w:r w:rsidRPr="00B97D65">
        <w:rPr>
          <w:rFonts w:ascii="宋体" w:hAnsi="宋体" w:cs="Courier New"/>
          <w:bCs/>
          <w:color w:val="000000"/>
          <w:szCs w:val="21"/>
        </w:rPr>
        <w:t>95533</w:t>
      </w:r>
      <w:r w:rsidRPr="00B97D65">
        <w:rPr>
          <w:rFonts w:ascii="宋体" w:hAnsi="宋体" w:cs="Courier New" w:hint="eastAsia"/>
          <w:bCs/>
          <w:color w:val="000000"/>
          <w:szCs w:val="21"/>
        </w:rPr>
        <w:t>客户服务电话以及互联网</w:t>
      </w:r>
      <w:r w:rsidRPr="00B97D65">
        <w:rPr>
          <w:rFonts w:ascii="宋体" w:hAnsi="宋体" w:cs="Courier New"/>
          <w:bCs/>
          <w:color w:val="000000"/>
          <w:szCs w:val="21"/>
        </w:rPr>
        <w:t>www.ccb.com</w:t>
      </w:r>
      <w:r w:rsidRPr="00B97D65">
        <w:rPr>
          <w:rFonts w:ascii="宋体" w:hAnsi="宋体" w:cs="Courier New" w:hint="eastAsia"/>
          <w:bCs/>
          <w:color w:val="000000"/>
          <w:szCs w:val="21"/>
        </w:rPr>
        <w:t>进行反映，</w:t>
      </w:r>
      <w:bookmarkStart w:id="1" w:name="_Hlk12482176"/>
      <w:r w:rsidRPr="00B97D65">
        <w:rPr>
          <w:rFonts w:ascii="宋体" w:hAnsi="宋体" w:cs="Courier New" w:hint="eastAsia"/>
          <w:bCs/>
          <w:color w:val="000000"/>
          <w:szCs w:val="21"/>
        </w:rPr>
        <w:t>中国建设银行</w:t>
      </w:r>
      <w:bookmarkEnd w:id="1"/>
      <w:r w:rsidRPr="00B97D65">
        <w:rPr>
          <w:rFonts w:ascii="宋体" w:hAnsi="宋体" w:cs="Courier New" w:hint="eastAsia"/>
          <w:bCs/>
          <w:color w:val="000000"/>
          <w:szCs w:val="21"/>
        </w:rPr>
        <w:t>与建信理财有限责任公司将予以受理。</w:t>
      </w:r>
    </w:p>
    <w:p w14:paraId="569ED24D" w14:textId="77777777" w:rsidR="00EC7F33" w:rsidRPr="007A4E7D" w:rsidRDefault="00EC7F33">
      <w:pPr>
        <w:adjustRightInd w:val="0"/>
        <w:snapToGrid w:val="0"/>
        <w:spacing w:line="280" w:lineRule="exact"/>
        <w:rPr>
          <w:color w:val="000000"/>
        </w:rPr>
      </w:pPr>
    </w:p>
    <w:p w14:paraId="25F6B981" w14:textId="77777777" w:rsidR="00EC7F33" w:rsidRDefault="00EC7F33"/>
    <w:sectPr w:rsidR="00EC7F33">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8CFE" w14:textId="77777777" w:rsidR="00B91A23" w:rsidRDefault="00B91A23">
      <w:r>
        <w:separator/>
      </w:r>
    </w:p>
  </w:endnote>
  <w:endnote w:type="continuationSeparator" w:id="0">
    <w:p w14:paraId="656CA83E" w14:textId="77777777" w:rsidR="00B91A23" w:rsidRDefault="00B9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20832"/>
      <w:docPartObj>
        <w:docPartGallery w:val="AutoText"/>
      </w:docPartObj>
    </w:sdtPr>
    <w:sdtEndPr/>
    <w:sdtContent>
      <w:p w14:paraId="12FE3238" w14:textId="1490BA52" w:rsidR="00EC7F33" w:rsidRDefault="00B1328A">
        <w:pPr>
          <w:pStyle w:val="a5"/>
          <w:jc w:val="center"/>
        </w:pPr>
        <w:r>
          <w:fldChar w:fldCharType="begin"/>
        </w:r>
        <w:r>
          <w:instrText>PAGE   \* MERGEFORMAT</w:instrText>
        </w:r>
        <w:r>
          <w:fldChar w:fldCharType="separate"/>
        </w:r>
        <w:r w:rsidR="00FE65F1" w:rsidRPr="00FE65F1">
          <w:rPr>
            <w:noProof/>
            <w:lang w:val="zh-CN"/>
          </w:rPr>
          <w:t>1</w:t>
        </w:r>
        <w:r>
          <w:fldChar w:fldCharType="end"/>
        </w:r>
      </w:p>
    </w:sdtContent>
  </w:sdt>
  <w:p w14:paraId="3CD945CB" w14:textId="77777777" w:rsidR="00EC7F33" w:rsidRDefault="00EC7F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08C87" w14:textId="77777777" w:rsidR="00B91A23" w:rsidRDefault="00B91A23">
      <w:r>
        <w:separator/>
      </w:r>
    </w:p>
  </w:footnote>
  <w:footnote w:type="continuationSeparator" w:id="0">
    <w:p w14:paraId="65CCD77F" w14:textId="77777777" w:rsidR="00B91A23" w:rsidRDefault="00B91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65"/>
    <w:rsid w:val="00080AC0"/>
    <w:rsid w:val="001D59A0"/>
    <w:rsid w:val="001E7B70"/>
    <w:rsid w:val="002E1ED5"/>
    <w:rsid w:val="003407B2"/>
    <w:rsid w:val="00574EFF"/>
    <w:rsid w:val="005E77AD"/>
    <w:rsid w:val="0060731F"/>
    <w:rsid w:val="00635112"/>
    <w:rsid w:val="006472EC"/>
    <w:rsid w:val="00670EAE"/>
    <w:rsid w:val="007069A0"/>
    <w:rsid w:val="00707D91"/>
    <w:rsid w:val="007306AB"/>
    <w:rsid w:val="007871A9"/>
    <w:rsid w:val="007A4E7D"/>
    <w:rsid w:val="0089204F"/>
    <w:rsid w:val="009F0360"/>
    <w:rsid w:val="00B1328A"/>
    <w:rsid w:val="00B52096"/>
    <w:rsid w:val="00B91A23"/>
    <w:rsid w:val="00B97D65"/>
    <w:rsid w:val="00C97661"/>
    <w:rsid w:val="00CB23FA"/>
    <w:rsid w:val="00E20938"/>
    <w:rsid w:val="00EC7F33"/>
    <w:rsid w:val="00FE65F1"/>
    <w:rsid w:val="466F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DF70"/>
  <w15:docId w15:val="{ABB802AF-400A-4000-B59B-31C9AB03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a">
    <w:name w:val="批注主题 字符"/>
    <w:basedOn w:val="a4"/>
    <w:link w:val="a9"/>
    <w:uiPriority w:val="99"/>
    <w:semiHidden/>
    <w:qFormat/>
    <w:rPr>
      <w:rFonts w:ascii="Calibri" w:eastAsia="宋体" w:hAnsi="Calibri" w:cs="Times New Roman"/>
      <w:b/>
      <w:bCs/>
    </w:rPr>
  </w:style>
  <w:style w:type="paragraph" w:styleId="ac">
    <w:name w:val="Balloon Text"/>
    <w:basedOn w:val="a"/>
    <w:link w:val="ad"/>
    <w:uiPriority w:val="99"/>
    <w:semiHidden/>
    <w:unhideWhenUsed/>
    <w:rsid w:val="007A4E7D"/>
    <w:rPr>
      <w:sz w:val="18"/>
      <w:szCs w:val="18"/>
    </w:rPr>
  </w:style>
  <w:style w:type="character" w:customStyle="1" w:styleId="ad">
    <w:name w:val="批注框文本 字符"/>
    <w:basedOn w:val="a0"/>
    <w:link w:val="ac"/>
    <w:uiPriority w:val="99"/>
    <w:semiHidden/>
    <w:rsid w:val="007A4E7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1443</Characters>
  <Application>Microsoft Office Word</Application>
  <DocSecurity>0</DocSecurity>
  <Lines>12</Lines>
  <Paragraphs>3</Paragraphs>
  <ScaleCrop>false</ScaleCrop>
  <Company>CCB</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专户理财部/wealthccb</dc:creator>
  <cp:lastModifiedBy>专户理财部</cp:lastModifiedBy>
  <cp:revision>6</cp:revision>
  <dcterms:created xsi:type="dcterms:W3CDTF">2022-09-20T01:35:00Z</dcterms:created>
  <dcterms:modified xsi:type="dcterms:W3CDTF">2022-11-18T09:31:00Z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E78F713AEAE44E8BA92B6C71D37A795F</vt:lpwstr>
  </property>
  <property fmtid="{D5CDD505-2E9C-101B-9397-08002B2CF9AE}" pid="4" name="_2015_ms_pID_725343">
    <vt:lpwstr>(3)754X0M68ldV7shCSauaPefPOkQKSkHxGV+p7uSjYj4ui5BYVX7jm1cYrohjIHtJK/UU1QguD
junFk4qAqVfuuNhAL+VwsHj88T5FsecWxA3jEKUWC7/NipOuMFTWCiQcbGSP7kVI7cwfmkiM
pTGHpAj00L84YIY+CLxyCruuqBIQ5ohMy21HDtKD1WXHmOgrw86IowAOS0fe2or5w6ubknt+
2WExThLk7lL2SmCzc0</vt:lpwstr>
  </property>
  <property fmtid="{D5CDD505-2E9C-101B-9397-08002B2CF9AE}" pid="5" name="_2015_ms_pID_7253431">
    <vt:lpwstr>yBxuEoissLp4e+cG1C8EsytWN7CYFsWhXMZvX+rWNvcVkDSbQu2h+q
nvSKBgoe13GZqeI4Z7Y5b0SIgBxbRVh4LrLbzgYoWFxo+mLGzrNc7QUDAzRrzBmTFZ/jT/2d
puK1pLw1Y6FIHfCL03OVPvTZ0K08KqkXCYIAilaBOSMMBWyr+lSflw1VNFCi6q3TmiGQYHAT
ZPif32/DRdkTThLkraKBa/wzCQFL9bMEjBwm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1662519855</vt:lpwstr>
  </property>
  <property fmtid="{D5CDD505-2E9C-101B-9397-08002B2CF9AE}" pid="10" name="_2015_ms_pID_7253432">
    <vt:lpwstr>PA==</vt:lpwstr>
  </property>
</Properties>
</file>