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30" w:lineRule="atLeast"/>
        <w:ind w:firstLine="420" w:firstLineChars="0"/>
        <w:jc w:val="center"/>
        <w:rPr>
          <w:b/>
          <w:bCs/>
          <w:sz w:val="32"/>
          <w:szCs w:val="32"/>
        </w:rPr>
      </w:pPr>
      <w:r>
        <w:rPr>
          <w:rFonts w:hint="eastAsia"/>
          <w:b/>
          <w:bCs/>
          <w:sz w:val="32"/>
          <w:szCs w:val="32"/>
        </w:rPr>
        <w:t>建信理财睿鑫固收类最低持有1年产品2024年一季度</w:t>
      </w:r>
      <w:r>
        <w:rPr>
          <w:rFonts w:hint="eastAsia" w:ascii="宋体" w:hAnsi="宋体" w:eastAsia="宋体" w:cs="宋体"/>
          <w:b/>
          <w:sz w:val="32"/>
          <w:szCs w:val="32"/>
          <w:lang w:val="en-US" w:eastAsia="zh-CN" w:bidi="ar"/>
        </w:rPr>
        <w:t>关联交易信息披露公告</w:t>
      </w:r>
      <w:bookmarkStart w:id="0" w:name="_GoBack"/>
      <w:bookmarkEnd w:id="0"/>
    </w:p>
    <w:p>
      <w:pPr>
        <w:jc w:val="center"/>
        <w:rPr>
          <w:rFonts w:hint="eastAsia"/>
          <w:sz w:val="21"/>
          <w:szCs w:val="21"/>
        </w:rPr>
      </w:pPr>
      <w:r>
        <w:rPr>
          <w:rFonts w:hint="eastAsia"/>
          <w:sz w:val="21"/>
          <w:szCs w:val="21"/>
        </w:rPr>
        <w:t>报告日：2024年03月31日</w:t>
      </w:r>
    </w:p>
    <w:p>
      <w:pPr>
        <w:keepNext w:val="0"/>
        <w:keepLines w:val="0"/>
        <w:widowControl/>
        <w:suppressLineNumbers w:val="0"/>
        <w:spacing w:before="0" w:beforeAutospacing="0" w:after="0" w:afterAutospacing="0" w:line="555" w:lineRule="atLeast"/>
        <w:ind w:left="0" w:right="0"/>
        <w:jc w:val="left"/>
        <w:rPr>
          <w:sz w:val="28"/>
          <w:szCs w:val="28"/>
          <w:lang w:val="en-US"/>
        </w:rPr>
      </w:pPr>
      <w:r>
        <w:rPr>
          <w:rFonts w:hint="eastAsia"/>
          <w:sz w:val="28"/>
          <w:szCs w:val="28"/>
        </w:rPr>
        <w:t>  </w:t>
      </w:r>
      <w:r>
        <w:rPr>
          <w:rFonts w:hint="eastAsia" w:ascii="宋体" w:hAnsi="宋体" w:eastAsia="宋体" w:cs="宋体"/>
          <w:kern w:val="0"/>
          <w:sz w:val="28"/>
          <w:szCs w:val="28"/>
          <w:lang w:val="en-US" w:eastAsia="zh-CN" w:bidi="ar"/>
        </w:rPr>
        <w:t>截至报告日，建信理财睿鑫固收类最低持有1年产品关联交易信息如下：</w:t>
      </w:r>
    </w:p>
    <w:p>
      <w:pPr>
        <w:keepNext w:val="0"/>
        <w:keepLines w:val="0"/>
        <w:widowControl/>
        <w:suppressLineNumbers w:val="0"/>
        <w:jc w:val="left"/>
      </w:pPr>
      <w:r>
        <w:rPr>
          <w:rFonts w:hint="eastAsia" w:ascii="宋体" w:hAnsi="宋体" w:eastAsia="宋体" w:cs="宋体"/>
          <w:b/>
          <w:kern w:val="0"/>
          <w:sz w:val="28"/>
          <w:szCs w:val="28"/>
          <w:lang w:val="en-US" w:eastAsia="zh-CN" w:bidi="ar"/>
        </w:rPr>
        <w:t>  一、理财产品投资与本公司或托管机构有重大利害关系的机构发行或承销的证券</w:t>
      </w:r>
    </w:p>
    <w:tbl>
      <w:tblPr>
        <w:tblStyle w:val="2"/>
        <w:tblW w:w="5000" w:type="pct"/>
        <w:tblInd w:w="0" w:type="dxa"/>
        <w:tblLayout w:type="autofit"/>
        <w:tblCellMar>
          <w:top w:w="15" w:type="dxa"/>
          <w:left w:w="15" w:type="dxa"/>
          <w:bottom w:w="15" w:type="dxa"/>
          <w:right w:w="15" w:type="dxa"/>
        </w:tblCellMar>
      </w:tblPr>
      <w:tblGrid>
        <w:gridCol w:w="521"/>
        <w:gridCol w:w="1048"/>
        <w:gridCol w:w="1031"/>
        <w:gridCol w:w="1290"/>
        <w:gridCol w:w="1187"/>
        <w:gridCol w:w="899"/>
        <w:gridCol w:w="1180"/>
        <w:gridCol w:w="1180"/>
      </w:tblGrid>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序号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证券简称</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证券类别</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证券代码</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数量</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净价</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关联方名称</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关联方角色</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23淮南矿SCP004</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012384488.IB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2,661</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23盐城交通CP002</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042380760.IB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1,440</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中国工商银行股份有限公司,中国建设银行股份有限公司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承销团成员,承销团成员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3</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19湘投MTN001B</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101901431.IB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2,420</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101.8953</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4</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19陕延油MTN011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101901505.IB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15,783</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101.9403</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5</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21苏州高新MTN005</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102101164.IB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631</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6</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21中交二航MTN002</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102101200.IB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420</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中国工商银行股份有限公司,中国工商银行股份有限公司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7</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21浙国贸MTN002</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102101391.IB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5,050</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中国工商银行股份有限公司,中国工商银行股份有限公司,中国建设银行股份有限公司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8</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21物产中大MTN002</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102101710.IB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9,470</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中国工商银行股份有限公司,中国工商银行股份有限公司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9</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21晋焦煤MTN004</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102101745.IB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10,522</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中国建设银行股份有限公司,中国工商银行股份有限公司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承销团成员,承销团成员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21滨湖建设MTN001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102101859.IB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2,104</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中国工商银行股份有限公司,中国建设银行股份有限公司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承销团成员,承销团成员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21昆山国创MTN001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102101868.IB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5,261</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12</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21陕煤化MTN007</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102101947.IB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10,522</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13</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21威海城投MTN003</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102101984.IB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1,894</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14</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21金阳投资MTN001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102101991.IB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4,208</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15</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21晋焦煤MTN006</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102102163.IB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4,208</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16</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21凌云工业MTN001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102102277.IB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841</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17</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21鲁黄金MTN011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102102281.IB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7,202</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中国建设银行股份有限公司,中国工商银行股份有限公司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承销团成员,承销团成员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18</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22陕煤化MTN004</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102280336.IB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1,052</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19</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22昆山国创MTN001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102280389.IB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1,052</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20</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22河钢集MTN005</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102280608.IB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3,156</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23云能投MTN005</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102383266.IB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5,247</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22</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24云能投MTN002</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102480131.IB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8,500</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23</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21灵山GN001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132100030.IB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1,894</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24</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19工商银行永续债</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商业性金融债券</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1928018.IB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52,694</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100.9079</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中国建设银行股份有限公司,中国建设银行股份有限公司,中国工商银行股份有限公司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主承销商或联席承销商,承销团成员,债务主体</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25</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19农业银行永续债01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商业性金融债券</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1928021.IB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52,132</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100.9831</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中国工商银行股份有限公司,中国工商银行股份有限公司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26</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19农业银行永续债02</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商业性金融债券</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1928023.IB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26,965</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100.9173</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中国工商银行股份有限公司,中国工商银行股份有限公司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27</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19交通银行永续债</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商业性金融债券</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1928025.IB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12,496</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101.0085</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中国工商银行股份有限公司,中国工商银行股份有限公司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28</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20邮储银行永续债</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商业性金融债券</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2028006.IB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61,231</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100.9432</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中国工商银行股份有限公司,中国工商银行股份有限公司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29</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20农业银行永续债01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商业性金融债券</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2028017.IB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87,005</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100.7252</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中国建设银行股份有限公司,中国建设银行股份有限公司,中国工商银行股份有限公司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30</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20浦发银行二级01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商业性金融债券</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2028025.IB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5,682</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101.8457</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中国工商银行股份有限公司,中国工商银行股份有限公司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31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20农业银行永续债02</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商业性金融债券</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2028032.IB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34,471</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102.6711</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中国建设银行股份有限公司,中国建设银行股份有限公司,中国工商银行股份有限公司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32</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20浦发银行二级03</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商业性金融债券</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2028034.IB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6,102</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102.5453</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中国工商银行股份有限公司,中国工商银行股份有限公司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33</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20交通银行永续债</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商业性金融债券</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2028040.IB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39,166</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102.9321</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中国工商银行股份有限公司,中国工商银行股份有限公司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34</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21邮储银行永续债01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商业性金融债券</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2128011.IB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11,638</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103.6806</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中国工商银行股份有限公司,中国工商银行股份有限公司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35</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21中信银行永续债</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商业性金融债券</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2128017.IB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9,717</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101.4123</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中国工商银行股份有限公司,中国工商银行股份有限公司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36</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21工商银行永续债01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商业性金融债券</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2128021.IB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69,554</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102.1938</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中国建设银行股份有限公司,中国建设银行股份有限公司,中国工商银行股份有限公司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主承销商或联席承销商,承销团成员,债务主体</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37</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21交通银行永续债</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商业性金融债券</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2128022.IB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32,789</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100.4880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中国工商银行股份有限公司,中国工商银行股份有限公司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38</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21农业银行永续债01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商业性金融债券</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2128038.IB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40,988</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中国建设银行股份有限公司,中国工商银行股份有限公司,中国建设银行股份有限公司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39</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23国开10</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政策性金融债券</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230210.IB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10,522</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102.3135</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40</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23招行永续债01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商业性金融债券</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242380033.IB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13,142</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中国建设银行股份有限公司,中国建设银行股份有限公司,中国工商银行股份有限公司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41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24邮储永续债01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商业性金融债券</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242400004.IB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41,110</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中国建设银行股份有限公司,中国工商银行股份有限公司,中国建设银行股份有限公司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42</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24农行永续债01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商业性金融债券</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242400005.IB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41,110</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中国建设银行股份有限公司,中国工商银行股份有限公司,中国建设银行股份有限公司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43</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23太平人寿永续债01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商业性金融债券</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282380005.IB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10,471</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44</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23邮储永续债01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商业性金融债券</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242380019.IB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34,960</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中国建设银行股份有限公司,中国建设银行股份有限公司,中国工商银行股份有限公司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45</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23农行永续债01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商业性金融债券</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242380017.IB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20,277</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中国建设银行股份有限公司,中国建设银行股份有限公司,中国工商银行股份有限公司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46</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22交通银行小微债01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商业性金融债券</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2228037.IB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1,398</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100.5190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中国工商银行股份有限公司,中国工商银行股份有限公司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47</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22中国银行永续债01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商业性金融债券</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2228023.IB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17,480</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100.4858</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中国建设银行股份有限公司,中国工商银行股份有限公司,中国建设银行股份有限公司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48</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22农业银行永续债01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商业性金融债券</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2228011.IB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35,939</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101.6531</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中国建设银行股份有限公司,中国工商银行股份有限公司,中国建设银行股份有限公司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49</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22中国银行二级01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商业性金融债券</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2228006.IB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9,015</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100.6981</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中国建设银行股份有限公司,中国工商银行股份有限公司,中国建设银行股份有限公司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50</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22工商银行二级01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商业性金融债券</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2228004.IB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6,917</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100.8247</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中国建设银行股份有限公司,中国建设银行股份有限公司,中国工商银行股份有限公司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主承销商或联席承销商,承销团成员,债务主体</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51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21招商银行永续债</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商业性金融债券</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2128047.IB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11,886</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101.6343</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中国工商银行股份有限公司,中国工商银行股份有限公司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52</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21工商银行永续债02</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商业性金融债券</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2128044.IB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2,097</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100.7452</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中国建设银行股份有限公司,中国建设银行股份有限公司,中国工商银行股份有限公司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主承销商或联席承销商,承销团成员,债务主体</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53</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21兴业银行二级02</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商业性金融债券</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2128042.IB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6,992</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102.5266</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中国建设银行股份有限公司,中国工商银行股份有限公司,中国建设银行股份有限公司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54</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21邮储银行二级01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商业性金融债券</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2128028.IB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6,992</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101.2255</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中国工商银行股份有限公司,中国工商银行股份有限公司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55</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20中国银行永续债03</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商业性金融债券</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2028053.IB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8,241</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103.9549</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中国建设银行股份有限公司,中国工商银行股份有限公司,中国建设银行股份有限公司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56</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20浦发银行永续债</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商业性金融债券</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2028051.IB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1,398</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103.2944</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中国工商银行股份有限公司,中国工商银行股份有限公司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57</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20光大银行永续债</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商业性金融债券</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2028037.IB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6,512</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102.7923</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中国工商银行股份有限公司,中国工商银行股份有限公司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58</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23中行永续债01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商业性金融债券</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242380008.IB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13,284</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中国建设银行股份有限公司,中国工商银行股份有限公司,中国建设银行股份有限公司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59</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22中国银行永续债02</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商业性金融债券</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2228029.IB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22,374</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100.5922</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中国建设银行股份有限公司,中国建设银行股份有限公司,中国工商银行股份有限公司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60</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22邮储银行二级01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商业性金融债券</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2228017.IB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2,097</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102.6635</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中国工商银行股份有限公司,中国工商银行股份有限公司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61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22邮储银行永续债01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商业性金融债券</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2228001.IB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12,585</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100.5186</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中国工商银行股份有限公司,中国工商银行股份有限公司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62</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21临沂投资MTN003</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102102176.IB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699</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63</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22晋能煤业MTN013(科创票据)</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102281337.IB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7,691</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64</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20中国银行永续债02</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商业性金融债券</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2028048.IB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8,390</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103.5268</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中国建设银行股份有限公司,中国工商银行股份有限公司,中国建设银行股份有限公司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65</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24南昌建投MTN001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102480813.IB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6,992</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66</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23赣投MTN001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102381502.IB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5,519</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中国建设银行股份有限公司,中国工商银行股份有限公司,中国建设银行股份有限公司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67</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24厦国贸控MTN004</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102481133.IB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6,992</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68</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24三一MTN001(科创票据)</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102480799.IB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11,886</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69</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22南通产业MTN001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102280046.IB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14,459</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中国工商银行股份有限公司,中国工商银行股份有限公司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70</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24苏州农业MTN001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102480287.IB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2,447</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71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23皖交控MTN003</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102381888.IB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2,097</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中国工商银行股份有限公司,中国工商银行股份有限公司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72</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23武商MTN001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102381720.IB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13,984</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中国工商银行股份有限公司,中国工商银行股份有限公司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73</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21长安汇通PPN001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032191358.IB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6,143</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74</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22昆山国创MTN007</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102282049.IB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6,992</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75</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24南昌轨交MTN001(绿色)</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102480235.IB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1,398</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中国建设银行股份有限公司,中国工商银行股份有限公司,中国建设银行股份有限公司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76</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21兴业银行二级01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商业性金融债券</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2128032.IB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13,984</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103.0139</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中国建设银行股份有限公司,中国建设银行股份有限公司,中国工商银行股份有限公司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77</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23工商银行CD066</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他行发行的同业存单</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112302066.IB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3,496</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97.4944</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中国工商银行股份有限公司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债务主体</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78</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22象屿MTN001(科创票据)</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102281255.IB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13,984</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79</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21渝高建投MTN001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102102220.IB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4,195</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100.1898</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80</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24南京旅游MTN001(资产担保)</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102481250.IB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4,894</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81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21淄博城运MTN003</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102103220.IB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8,940</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96.3159</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82</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22新庐陵MTN001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102281265.IB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9,788</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83</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22昆钢MTN001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102280779.IB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13,984</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84</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22中建投资MTN001(绿色)</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102280709.IB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559</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100.4816</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85</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22农行永续债02</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商业性金融债券</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092280086.IB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4,525</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100.1476</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中国建设银行股份有限公司,中国工商银行股份有限公司,中国建设银行股份有限公司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86</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21淄博城资MTN002</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102103081.IB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12,585</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95.8070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87</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21中国银行永续债01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商业性金融债券</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2128019.IB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21,887</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102.8035</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中国建设银行股份有限公司,中国工商银行股份有限公司,中国建设银行股份有限公司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88</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22北部湾MTN001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102280032.IB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4,894</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89</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21晋能电力MTN015</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102103210.IB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15,857</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90</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24西安高新MTN002</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102480325.IB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3,496</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91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21江门高新MTN001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102103204.IB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2,097</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92</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22云天化MTN001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102281519.IB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6,992</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93</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22合肥产投MTN001(科创票据)</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102281241.IB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11,886</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94</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21淮安国投MTN003</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102103248.IB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2,097</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95</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23南昌建投MTN008</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102383334.IB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2,796</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96</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24天津轨交SCP003</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012480458.IB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1,398</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中国工商银行股份有限公司,中国建设银行股份有限公司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承销团成员,承销团成员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97</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22河钢集MTN001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102280101.IB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3,825</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中国建设银行股份有限公司,中国工商银行股份有限公司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承销团成员,承销团成员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98</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22五凌1号ABN001优先A</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资产支持证券</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082280989.IB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2,097</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95.4545</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中国建设银行股份有限公司,中国建设银行股份有限公司,中国工商银行股份有限公司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99</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22农业银行绿色金融债01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商业性金融债券</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2228052.IB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699</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99.7420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中国工商银行股份有限公司,中国工商银行股份有限公司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23工商银行CD062</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他行发行的同业存单</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112302062.IB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10,488</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98.7363</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中国工商银行股份有限公司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债务主体</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24天津港MTN001(科创票据)</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102480047.IB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3,496</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23浦发银行绿色金融债01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商业性金融债券</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2328007.IB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3,641</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100.5108</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中国工商银行股份有限公司,中国工商银行股份有限公司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103</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23兴业银行绿色金融债02</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商业性金融债券</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2328018.IB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4,045</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100.1427</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中国建设银行股份有限公司,中国建设银行股份有限公司,中国工商银行股份有限公司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104</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23光大银行绿债01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商业性金融债券</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222380004.IB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1,618</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100.1922</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中国建设银行股份有限公司,中国建设银行股份有限公司,中国工商银行股份有限公司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105</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20交通银行二级</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商业性金融债券</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2028018.IB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2,022</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100.5152</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中国工商银行股份有限公司,中国工商银行股份有限公司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106</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22飞驰林语ABN001优先</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资产支持证券</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082280315.IB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6,028</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建信信托有限责任公司,中国建设银行股份有限公司,中国建设银行股份有限公司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计划管理人,主承销商或联席承销商,承销团成员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107</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23江西交投MTN004</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102381806.IB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1,618</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108</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23汇金MTN003</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102381224.IB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4,450</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99.8297</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中国建设银行股份有限公司,中国工商银行股份有限公司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承销团成员,承销团成员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109</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23长沙银行债01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商业性金融债券</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212380009.IB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404</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110</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21河钢集MTN007</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102103181.IB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1,618</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中国建设银行股份有限公司,中国工商银行股份有限公司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承销团成员,承销团成员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111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23汇金MTN002</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102380981.IB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404</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中国建设银行股份有限公司,中国建设银行股份有限公司,中国工商银行股份有限公司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112</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21昆明轨道MTN001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102101052.IB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1,213</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102.1700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113</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22云南交投MTN001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102280415.IB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9,305</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114</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21华发集团MTN009</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102101775.IB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6,068</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100.7593</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115</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21川能投MTN002B</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102101521.IB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6,068</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101.2730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116</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21中建投资MTN002</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102103346.IB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2,022</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117</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21华电山能ABN001优先</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资产支持证券</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082180086.IB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950</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118</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21中国信达债01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商业性金融债券</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092100008.IB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6,878</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99.9144</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119</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21闽国资MTN001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102102247.IB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2,022</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99.4239</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120</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22淄博城运MTN002</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102280291.IB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3,641</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95.5325</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121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23兴业银行绿债01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商业性金融债券</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222380003.IB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4,450</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100.4740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中国建设银行股份有限公司,中国建设银行股份有限公司,中国工商银行股份有限公司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122</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21建发MTN001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102101832.IB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12,137</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101.3505</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中国建设银行股份有限公司,中国工商银行股份有限公司,中国建设银行股份有限公司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123</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21新长宁MTN003</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102103048.IB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4,045</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中国建设银行股份有限公司,中国工商银行股份有限公司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承销团成员,承销团成员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124</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21赣投MTN001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102101632.IB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6,068</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100.5436</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中国建设银行股份有限公司,中国建设银行股份有限公司,中国工商银行股份有限公司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125</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22中国信达债01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商业性金融债券</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092280003.IB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20,229</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126</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21厦国贸控MTN006</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102101666.IB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4,045</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100.4576</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127</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21厦国贸控MTN007</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102101942.IB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6,473</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101.5684</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中国工商银行股份有限公司,中国工商银行股份有限公司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128</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21皖农垦MTN001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102101976.IB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4,045</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100.9302</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129</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21华发集团MTN005</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企业债务融资工具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102100898.IB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809</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99.8008</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中国建设银行股份有限公司,中国工商银行股份有限公司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承销团成员,承销团成员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130</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23交通银行小微债01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商业性金融债券</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2328006.IB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4,045</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100.5894</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中国建设银行股份有限公司,中国工商银行股份有限公司,中国建设银行股份有限公司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131</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23中铁科创ABN001优先</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资产支持证券</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082380081.IB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404</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100.0000</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r>
        <w:tblPrEx>
          <w:tblCellMar>
            <w:top w:w="15" w:type="dxa"/>
            <w:left w:w="15" w:type="dxa"/>
            <w:bottom w:w="15" w:type="dxa"/>
            <w:right w:w="15" w:type="dxa"/>
          </w:tblCellMar>
        </w:tblPrEx>
        <w:trPr>
          <w:trHeight w:val="450" w:hRule="atLeast"/>
        </w:trPr>
        <w:tc>
          <w:tcPr>
            <w:tcW w:w="5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132</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21长城资本债01BC</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商业性金融债券</w:t>
            </w:r>
          </w:p>
        </w:tc>
        <w:tc>
          <w:tcPr>
            <w:tcW w:w="1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092100012.IB</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16,183</w:t>
            </w:r>
          </w:p>
        </w:tc>
        <w:tc>
          <w:tcPr>
            <w:tcW w:w="9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100.8533</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中国建设银行股份有限公司,中国建设银行股份有限公司</w:t>
            </w:r>
          </w:p>
        </w:tc>
        <w:tc>
          <w:tcPr>
            <w:tcW w:w="120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color w:val="666666"/>
                <w:sz w:val="21"/>
                <w:szCs w:val="21"/>
              </w:rPr>
            </w:pPr>
            <w:r>
              <w:rPr>
                <w:rFonts w:hint="eastAsia"/>
                <w:color w:val="666666"/>
                <w:sz w:val="21"/>
                <w:szCs w:val="21"/>
              </w:rPr>
              <w:t>主承销商或联席承销商,承销团成员</w:t>
            </w:r>
          </w:p>
        </w:tc>
      </w:tr>
    </w:tbl>
    <w:p>
      <w:pPr>
        <w:spacing w:line="555" w:lineRule="atLeast"/>
        <w:rPr>
          <w:b/>
          <w:sz w:val="28"/>
          <w:szCs w:val="28"/>
          <w:lang w:val="en-US"/>
        </w:rPr>
      </w:pPr>
      <w:r>
        <w:rPr>
          <w:rFonts w:hint="eastAsia"/>
          <w:sz w:val="28"/>
          <w:szCs w:val="28"/>
        </w:rPr>
        <w:t> </w:t>
      </w:r>
      <w:r>
        <w:rPr>
          <w:rFonts w:hint="eastAsia"/>
          <w:b/>
          <w:bCs/>
          <w:sz w:val="28"/>
          <w:szCs w:val="28"/>
        </w:rPr>
        <w:t> </w:t>
      </w:r>
      <w:r>
        <w:rPr>
          <w:rFonts w:hint="eastAsia" w:ascii="宋体" w:hAnsi="宋体" w:eastAsia="宋体" w:cs="宋体"/>
          <w:b/>
          <w:kern w:val="0"/>
          <w:sz w:val="28"/>
          <w:szCs w:val="28"/>
          <w:lang w:val="en-US" w:eastAsia="zh-CN" w:bidi="ar"/>
        </w:rPr>
        <w:t>二、理财产品投资关联方发行的资产管理产品</w:t>
      </w:r>
    </w:p>
    <w:p>
      <w:pPr>
        <w:keepNext w:val="0"/>
        <w:keepLines w:val="0"/>
        <w:widowControl/>
        <w:suppressLineNumbers w:val="0"/>
        <w:spacing w:before="0" w:beforeAutospacing="0" w:after="0" w:afterAutospacing="0" w:line="555" w:lineRule="atLeast"/>
        <w:ind w:left="0" w:right="0"/>
        <w:jc w:val="left"/>
        <w:rPr>
          <w:sz w:val="28"/>
          <w:szCs w:val="28"/>
          <w:lang w:val="en-US"/>
        </w:rPr>
      </w:pPr>
      <w:r>
        <w:rPr>
          <w:rFonts w:hint="eastAsia" w:ascii="宋体" w:hAnsi="宋体" w:eastAsia="宋体" w:cs="宋体"/>
          <w:kern w:val="0"/>
          <w:sz w:val="28"/>
          <w:szCs w:val="28"/>
          <w:lang w:val="en-US" w:eastAsia="zh-CN" w:bidi="ar"/>
        </w:rPr>
        <w:t>无</w:t>
      </w:r>
    </w:p>
    <w:p>
      <w:pPr>
        <w:keepNext w:val="0"/>
        <w:keepLines w:val="0"/>
        <w:widowControl/>
        <w:suppressLineNumbers w:val="0"/>
        <w:spacing w:before="0" w:beforeAutospacing="0" w:after="0" w:afterAutospacing="0" w:line="555" w:lineRule="atLeast"/>
        <w:ind w:left="0" w:right="0" w:firstLine="562" w:firstLineChars="200"/>
        <w:jc w:val="left"/>
        <w:rPr>
          <w:sz w:val="28"/>
          <w:szCs w:val="28"/>
          <w:lang w:val="en-US"/>
        </w:rPr>
      </w:pPr>
      <w:r>
        <w:rPr>
          <w:rFonts w:hint="eastAsia" w:ascii="宋体" w:hAnsi="宋体" w:eastAsia="宋体" w:cs="宋体"/>
          <w:b/>
          <w:kern w:val="0"/>
          <w:sz w:val="28"/>
          <w:szCs w:val="28"/>
          <w:lang w:val="en-US" w:eastAsia="zh-CN" w:bidi="ar"/>
        </w:rPr>
        <w:t>三、其他关联交易</w:t>
      </w:r>
    </w:p>
    <w:p>
      <w:pPr>
        <w:keepNext w:val="0"/>
        <w:keepLines w:val="0"/>
        <w:widowControl/>
        <w:suppressLineNumbers w:val="0"/>
        <w:spacing w:before="0" w:beforeAutospacing="0" w:after="0" w:afterAutospacing="0" w:line="555" w:lineRule="atLeast"/>
        <w:ind w:left="0" w:right="0"/>
        <w:jc w:val="left"/>
        <w:rPr>
          <w:sz w:val="28"/>
          <w:szCs w:val="28"/>
          <w:lang w:val="en-US"/>
        </w:rPr>
      </w:pPr>
      <w:r>
        <w:rPr>
          <w:rFonts w:hint="eastAsia" w:ascii="宋体" w:hAnsi="宋体" w:eastAsia="宋体" w:cs="宋体"/>
          <w:kern w:val="0"/>
          <w:sz w:val="28"/>
          <w:szCs w:val="28"/>
          <w:lang w:val="en-US" w:eastAsia="zh-CN" w:bidi="ar"/>
        </w:rPr>
        <w:t>无</w:t>
      </w:r>
    </w:p>
    <w:p>
      <w:pPr>
        <w:keepNext w:val="0"/>
        <w:keepLines w:val="0"/>
        <w:widowControl/>
        <w:suppressLineNumbers w:val="0"/>
        <w:spacing w:before="0" w:beforeAutospacing="0" w:after="0" w:afterAutospacing="0" w:line="555" w:lineRule="atLeast"/>
        <w:ind w:left="0" w:right="0"/>
        <w:jc w:val="left"/>
        <w:rPr>
          <w:sz w:val="28"/>
          <w:szCs w:val="28"/>
          <w:lang w:val="en-US"/>
        </w:rPr>
      </w:pPr>
      <w:r>
        <w:rPr>
          <w:rFonts w:hint="eastAsia" w:ascii="宋体" w:hAnsi="宋体" w:eastAsia="宋体" w:cs="宋体"/>
          <w:kern w:val="0"/>
          <w:sz w:val="28"/>
          <w:szCs w:val="28"/>
          <w:lang w:val="en-US" w:eastAsia="zh-CN" w:bidi="ar"/>
        </w:rPr>
        <w:t xml:space="preserve">   </w:t>
      </w:r>
    </w:p>
    <w:p>
      <w:pPr>
        <w:keepNext w:val="0"/>
        <w:keepLines w:val="0"/>
        <w:widowControl/>
        <w:suppressLineNumbers w:val="0"/>
        <w:spacing w:before="0" w:beforeAutospacing="0" w:after="0" w:afterAutospacing="0" w:line="555" w:lineRule="atLeast"/>
        <w:ind w:left="0" w:right="0" w:firstLine="560" w:firstLineChars="200"/>
        <w:jc w:val="left"/>
        <w:rPr>
          <w:sz w:val="28"/>
          <w:szCs w:val="28"/>
          <w:lang w:val="en-US"/>
        </w:rPr>
      </w:pPr>
      <w:r>
        <w:rPr>
          <w:rFonts w:hint="eastAsia" w:ascii="宋体" w:hAnsi="宋体" w:eastAsia="宋体" w:cs="宋体"/>
          <w:kern w:val="0"/>
          <w:sz w:val="28"/>
          <w:szCs w:val="28"/>
          <w:lang w:val="en-US" w:eastAsia="zh-CN" w:bidi="ar"/>
        </w:rPr>
        <w:t>特此公告</w:t>
      </w:r>
    </w:p>
    <w:p>
      <w:pPr>
        <w:keepNext w:val="0"/>
        <w:keepLines w:val="0"/>
        <w:widowControl/>
        <w:suppressLineNumbers w:val="0"/>
        <w:spacing w:before="0" w:beforeAutospacing="0" w:after="0" w:afterAutospacing="0" w:line="555" w:lineRule="atLeast"/>
        <w:ind w:left="0" w:right="0"/>
        <w:jc w:val="right"/>
        <w:rPr>
          <w:sz w:val="28"/>
          <w:szCs w:val="28"/>
          <w:lang w:val="en-US"/>
        </w:rPr>
      </w:pPr>
      <w:r>
        <w:rPr>
          <w:rFonts w:hint="eastAsia" w:ascii="宋体" w:hAnsi="宋体" w:eastAsia="宋体" w:cs="宋体"/>
          <w:kern w:val="0"/>
          <w:sz w:val="28"/>
          <w:szCs w:val="28"/>
          <w:lang w:val="en-US" w:eastAsia="zh-CN" w:bidi="ar"/>
        </w:rPr>
        <w:t>建信理财有限责任公司</w:t>
      </w:r>
      <w:r>
        <w:rPr>
          <w:rFonts w:hint="eastAsia"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2024年3月31日</w:t>
      </w:r>
    </w:p>
    <w:p>
      <w:pPr>
        <w:spacing w:line="420" w:lineRule="atLeast"/>
        <w:rPr>
          <w:rFonts w:hint="eastAsia"/>
          <w:sz w:val="21"/>
          <w:szCs w:val="21"/>
        </w:rPr>
      </w:pPr>
    </w:p>
    <w:sectPr>
      <w:pgSz w:w="11906" w:h="16838"/>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Math">
    <w:panose1 w:val="02040503050406030204"/>
    <w:charset w:val="01"/>
    <w:family w:val="auto"/>
    <w:pitch w:val="variable"/>
    <w:sig w:usb0="E00006FF" w:usb1="420024FF" w:usb2="02000000" w:usb3="00000000" w:csb0="2000019F" w:csb1="00000000"/>
  </w:font>
  <w:font w:name="@宋体">
    <w:panose1 w:val="02010600030101010101"/>
    <w:charset w:val="86"/>
    <w:family w:val="auto"/>
    <w:pitch w:val="variable"/>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1"/>
  <w:bordersDoNotSurroundFooter w:val="1"/>
  <w:documentProtection w:enforcement="0"/>
  <w:defaultTabStop w:val="420"/>
  <w:displayHorizontalDrawingGridEvery w:val="0"/>
  <w:displayVerticalDrawingGridEvery w:val="2"/>
  <w:characterSpacingControl w:val="doNotCompress"/>
  <w:compat>
    <w:balanceSingleByteDoubleByteWidth/>
    <w:doNotExpandShiftReturn/>
    <w:adjustLineHeightInTable/>
    <w:useFELayout/>
    <w:doNotUseIndentAsNumberingTabStop/>
    <w:useAltKinsokuLineBreakRules/>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
  <w:rsids>
    <w:rsidRoot w:val="000900C7"/>
    <w:rsid w:val="000900C7"/>
    <w:rsid w:val="00C61837"/>
    <w:rsid w:val="137C2B35"/>
    <w:rsid w:val="385D4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4">
    <w:name w:val="msonormal"/>
    <w:basedOn w:val="1"/>
    <w:qFormat/>
    <w:uiPriority w:val="0"/>
    <w:pPr>
      <w:spacing w:before="100" w:beforeAutospacing="1" w:after="100" w:afterAutospacing="1"/>
    </w:pPr>
  </w:style>
  <w:style w:type="character" w:customStyle="1" w:styleId="5">
    <w:name w:val="titlefive2"/>
    <w:basedOn w:val="3"/>
    <w:qFormat/>
    <w:uiPriority w:val="0"/>
  </w:style>
  <w:style w:type="character" w:customStyle="1" w:styleId="6">
    <w:name w:val="fa"/>
    <w:basedOn w:val="3"/>
    <w:uiPriority w:val="0"/>
  </w:style>
  <w:style w:type="character" w:customStyle="1" w:styleId="7">
    <w:name w:val="titleeight2"/>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2301</Words>
  <Characters>13117</Characters>
  <Lines>109</Lines>
  <Paragraphs>30</Paragraphs>
  <TotalTime>1</TotalTime>
  <ScaleCrop>false</ScaleCrop>
  <LinksUpToDate>false</LinksUpToDate>
  <CharactersWithSpaces>15388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2024-04-29T02:23:00Z</dcterms:created>
  <dc:creator>鹏 郭</dc:creator>
  <cp:lastModifiedBy>jxlc</cp:lastModifiedBy>
  <dcterms:modified xsi:type="dcterms:W3CDTF">2024-04-29T06:41:51Z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