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ascii="宋体" w:hAnsi="宋体" w:eastAsia="宋体" w:cs="Arial"/>
          <w:b/>
          <w:color w:val="000000"/>
          <w:kern w:val="0"/>
          <w:szCs w:val="21"/>
        </w:rPr>
      </w:pPr>
      <w:r>
        <w:rPr>
          <w:rFonts w:hint="eastAsia" w:ascii="宋体" w:hAnsi="宋体" w:eastAsia="宋体" w:cs="Arial"/>
          <w:b/>
          <w:color w:val="000000"/>
          <w:kern w:val="0"/>
          <w:szCs w:val="21"/>
        </w:rPr>
        <w:t>关于调整建信理财部分理财产品费率等产品要素的公告</w:t>
      </w:r>
    </w:p>
    <w:p>
      <w:pPr>
        <w:pStyle w:val="8"/>
        <w:snapToGrid w:val="0"/>
        <w:spacing w:line="460" w:lineRule="atLeast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尊敬的客户：</w:t>
      </w:r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为更好地为客户提供投资理财服务，建信理财有限责任公司拟调整部分理财产品的销售费率和管理费率，并相应修改产品风险揭示书和产品说明书的相关内容，具体调整内容如下：</w:t>
      </w:r>
    </w:p>
    <w:p>
      <w:pPr>
        <w:pStyle w:val="8"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</w:rPr>
      </w:pPr>
      <w:r>
        <w:rPr>
          <w:rFonts w:hint="eastAsia" w:cs="Arial"/>
          <w:color w:val="000000"/>
          <w:sz w:val="21"/>
          <w:szCs w:val="21"/>
        </w:rPr>
        <w:t>一、调整部分理财产品的销售费率</w:t>
      </w:r>
    </w:p>
    <w:tbl>
      <w:tblPr>
        <w:tblStyle w:val="10"/>
        <w:tblW w:w="4524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55"/>
        <w:gridCol w:w="1862"/>
        <w:gridCol w:w="2007"/>
        <w:gridCol w:w="2149"/>
        <w:gridCol w:w="1465"/>
        <w:gridCol w:w="14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tblHeader/>
          <w:jc w:val="center"/>
        </w:trPr>
        <w:tc>
          <w:tcPr>
            <w:tcW w:w="3813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842" w:type="dxa"/>
            <w:vMerge w:val="restart"/>
            <w:tcBorders>
              <w:top w:val="double" w:color="auto" w:sz="4" w:space="0"/>
              <w:left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12"/>
                <w:rFonts w:hint="eastAsia" w:cs="Arial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85" w:type="dxa"/>
            <w:vMerge w:val="restart"/>
            <w:tcBorders>
              <w:top w:val="double" w:color="auto" w:sz="4" w:space="0"/>
              <w:left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napToGrid w:val="0"/>
              <w:spacing w:line="46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12"/>
                <w:rFonts w:hint="eastAsia" w:cs="Arial"/>
                <w:color w:val="000000"/>
                <w:sz w:val="18"/>
                <w:szCs w:val="18"/>
              </w:rPr>
              <w:t>调整起始日</w:t>
            </w:r>
          </w:p>
        </w:tc>
        <w:tc>
          <w:tcPr>
            <w:tcW w:w="2126" w:type="dxa"/>
            <w:vMerge w:val="restart"/>
            <w:tcBorders>
              <w:top w:val="double" w:color="auto" w:sz="4" w:space="0"/>
              <w:left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napToGrid w:val="0"/>
              <w:spacing w:line="46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12"/>
                <w:rFonts w:hint="eastAsia" w:cs="Arial"/>
                <w:color w:val="000000"/>
                <w:sz w:val="18"/>
                <w:szCs w:val="18"/>
              </w:rPr>
              <w:t>调整截止日</w:t>
            </w:r>
          </w:p>
        </w:tc>
        <w:tc>
          <w:tcPr>
            <w:tcW w:w="2836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</w:tcPr>
          <w:p>
            <w:pPr>
              <w:pStyle w:val="8"/>
              <w:snapToGrid w:val="0"/>
              <w:spacing w:line="460" w:lineRule="atLeast"/>
              <w:jc w:val="center"/>
              <w:rPr>
                <w:rStyle w:val="12"/>
                <w:rFonts w:hint="eastAsia" w:cs="Arial"/>
                <w:color w:val="000000"/>
                <w:sz w:val="18"/>
                <w:szCs w:val="18"/>
              </w:rPr>
            </w:pPr>
            <w:r>
              <w:rPr>
                <w:rStyle w:val="12"/>
                <w:rFonts w:hint="eastAsia" w:cs="Arial"/>
                <w:color w:val="000000"/>
                <w:sz w:val="18"/>
                <w:szCs w:val="18"/>
              </w:rPr>
              <w:t>销售费率（年化）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tblHeader/>
          <w:jc w:val="center"/>
        </w:trPr>
        <w:tc>
          <w:tcPr>
            <w:tcW w:w="3813" w:type="dxa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12"/>
                <w:rFonts w:hint="eastAsia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napToGrid w:val="0"/>
              <w:spacing w:line="460" w:lineRule="atLeast"/>
              <w:jc w:val="center"/>
              <w:rPr>
                <w:rStyle w:val="12"/>
                <w:rFonts w:hint="eastAsia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napToGrid w:val="0"/>
              <w:spacing w:line="460" w:lineRule="atLeast"/>
              <w:jc w:val="center"/>
              <w:rPr>
                <w:rStyle w:val="12"/>
                <w:rFonts w:hint="eastAsia" w:cs="Arial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</w:tcPr>
          <w:p>
            <w:pPr>
              <w:pStyle w:val="8"/>
              <w:snapToGrid w:val="0"/>
              <w:spacing w:line="460" w:lineRule="atLeast"/>
              <w:jc w:val="center"/>
              <w:rPr>
                <w:rStyle w:val="12"/>
                <w:rFonts w:hint="eastAsia" w:cs="Arial"/>
                <w:color w:val="000000"/>
                <w:sz w:val="18"/>
                <w:szCs w:val="18"/>
              </w:rPr>
            </w:pPr>
            <w:r>
              <w:rPr>
                <w:rStyle w:val="12"/>
                <w:rFonts w:hint="eastAsia" w:cs="Arial"/>
                <w:color w:val="000000"/>
                <w:sz w:val="18"/>
                <w:szCs w:val="18"/>
              </w:rPr>
              <w:t>调整前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</w:tcPr>
          <w:p>
            <w:pPr>
              <w:pStyle w:val="8"/>
              <w:snapToGrid w:val="0"/>
              <w:spacing w:line="460" w:lineRule="atLeast"/>
              <w:jc w:val="center"/>
              <w:rPr>
                <w:rStyle w:val="12"/>
                <w:rFonts w:hint="eastAsia" w:cs="Arial"/>
                <w:color w:val="000000"/>
                <w:sz w:val="18"/>
                <w:szCs w:val="18"/>
              </w:rPr>
            </w:pPr>
            <w:r>
              <w:rPr>
                <w:rStyle w:val="12"/>
                <w:rFonts w:hint="eastAsia" w:cs="Arial"/>
                <w:color w:val="000000"/>
                <w:sz w:val="18"/>
                <w:szCs w:val="18"/>
              </w:rPr>
              <w:t>调整后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建信理财“嘉鑫”（7天）定期开放固收类净值型人民币理财产品第1期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Z7000719000090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2024年7月5日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2024年10月11日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0.30%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建信理财“睿福”稳健FOF（最低持有1年）理财产品第1期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Z7000719000174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建信理财“嘉鑫”(最低持有180天）开放式理财产品第1期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Z7000720000093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建信理财“嘉鑫”（1个月）定期开放固收类净值型人民币理财产品第1期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Z7000719000086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2024年10月10日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建信理财“嘉鑫”（3个月）定期开放固收类净值型人民币理财产品第1期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Z7000719000088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2024年8月14日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2024年11月12日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建信理财“开鑫”最低持有90天开放理财产品第1期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Z7000720000159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建信理财“睿鑫”最低持有90天开放理财产品第2期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Z7000720000232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建信理财“睿鑫”最低持有60天开放理财产品第2期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Z7000720000231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建信理财“睿鑫”最低持有270天开放理财产品第1期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Z7000720000343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建信理财“睿鑫”（1个月）定期开放式理财产品第1期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Z7000720000003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2024年7月23日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2024年10月21日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建信理财睿鑫1个月定开理财产品（下旬）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Z7000720000130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2024年7月2日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2024年10月8日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建信理财睿鑫1个月定开理财产品（上旬）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Z7000720000128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2024年7月12日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2024年10月11日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建信理财“安鑫”（七天）固定收益类开放式净值型人民币理财产品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Z7000720000677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2024年7月3日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2024年10月8日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0.30%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建信理财“安鑫”（最低持有180天）按日开放固定收益类净值型人民币理财产品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Z7000720000679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0.30%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建信理财“安鑫”（最低持有270天）按日开放固定收益类净值型人民币理财产品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Z7000720000680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0.30%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建信理财“安鑫”（最低持有360天）按日开放固定收益类净值型人民币理财产品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Z7000720000681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0.30%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建信理财“安鑫”（最低持有540天）按日开放固定收益类净值型人民币理财产品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Z7000720000682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0.30%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建信理财“安鑫”（最低持有720天）按日开放固定收益类净值型人民币理财产品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Z7000720000683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0.30%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建信理财“诚鑫”多元配置混合类最低持有2年开放式产品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Z7000720000709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0.30%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建信理财“睿鑫”固收类最低持有30天按日开放式产品第1期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Z7000720000846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建信理财睿鑫固收类最低持有7天产品第1期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Z7000721000907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建信理财嘉鑫固收类按日开放式产品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Z7000722000754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建信理财“睿智”定期开放式（3个月）第1期理财产品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Z7000719000100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2024年10月10日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建信理财“睿智”定期开放式（6个月）第1期理财产品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Z7000719000079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2025年1月10日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建信理财“睿鑫”（6个月）定期开放式理财产品第1期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Z7000719000176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2024年9月19日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2025年3月17日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建信理财“龙鑫”固收类12个月定开式理财产品第1期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Z7000720000515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2024年7月31日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2025年7月30日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建信理财“龙鑫”固收类12个月定开式理财产品第2期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Z7000720000594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2024年8月21日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2025年8月20日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0.40%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建信理财睿鑫固收类14天定开式产品第1期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Z7000723000505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2024年7月12日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2024年10月8日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建信理财嘉鑫固收类最低持有7天产品第3期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Z7000724000200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建信理财嘉鑫固收类按日开放式产品第13期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Z7000724000223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建信理财嘉鑫固收类最低持有14天产品第6期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Z7000724000316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建信理财嘉鑫固收类最低持有7天产品第5期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Z7000724000337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建信理财嘉鑫固收类按日开放式产品第14期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Z7000724000318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</w:tbl>
    <w:p>
      <w:pPr>
        <w:pStyle w:val="8"/>
        <w:snapToGrid w:val="0"/>
        <w:spacing w:line="460" w:lineRule="atLeast"/>
        <w:rPr>
          <w:rStyle w:val="12"/>
          <w:rFonts w:cs="Arial"/>
          <w:color w:val="000000"/>
          <w:sz w:val="21"/>
          <w:szCs w:val="21"/>
          <w:highlight w:val="none"/>
        </w:rPr>
      </w:pPr>
      <w:r>
        <w:rPr>
          <w:rStyle w:val="12"/>
          <w:rFonts w:hint="eastAsia" w:cs="Arial"/>
          <w:color w:val="000000"/>
          <w:sz w:val="21"/>
          <w:szCs w:val="21"/>
          <w:highlight w:val="none"/>
        </w:rPr>
        <w:t> </w:t>
      </w:r>
    </w:p>
    <w:p>
      <w:pPr>
        <w:pStyle w:val="8"/>
        <w:snapToGrid w:val="0"/>
        <w:spacing w:line="460" w:lineRule="atLeast"/>
        <w:rPr>
          <w:rFonts w:cs="Arial"/>
          <w:color w:val="000000"/>
          <w:sz w:val="21"/>
          <w:szCs w:val="21"/>
          <w:highlight w:val="none"/>
        </w:rPr>
      </w:pPr>
    </w:p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二、调整部分理财产品的管理费率</w:t>
      </w:r>
    </w:p>
    <w:tbl>
      <w:tblPr>
        <w:tblStyle w:val="10"/>
        <w:tblW w:w="4524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55"/>
        <w:gridCol w:w="1862"/>
        <w:gridCol w:w="2007"/>
        <w:gridCol w:w="2149"/>
        <w:gridCol w:w="1465"/>
        <w:gridCol w:w="14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tblHeader/>
          <w:jc w:val="center"/>
        </w:trPr>
        <w:tc>
          <w:tcPr>
            <w:tcW w:w="3813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产品名称</w:t>
            </w:r>
          </w:p>
        </w:tc>
        <w:tc>
          <w:tcPr>
            <w:tcW w:w="1842" w:type="dxa"/>
            <w:vMerge w:val="restart"/>
            <w:tcBorders>
              <w:top w:val="double" w:color="auto" w:sz="4" w:space="0"/>
              <w:left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12"/>
                <w:rFonts w:hint="eastAsia" w:cs="Arial"/>
                <w:color w:val="000000"/>
                <w:sz w:val="18"/>
                <w:szCs w:val="18"/>
                <w:highlight w:val="none"/>
              </w:rPr>
              <w:t>全国银行业理财信息登记系统编号</w:t>
            </w:r>
          </w:p>
        </w:tc>
        <w:tc>
          <w:tcPr>
            <w:tcW w:w="1985" w:type="dxa"/>
            <w:vMerge w:val="restart"/>
            <w:tcBorders>
              <w:top w:val="double" w:color="auto" w:sz="4" w:space="0"/>
              <w:left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napToGrid w:val="0"/>
              <w:spacing w:line="46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  <w:highlight w:val="none"/>
              </w:rPr>
            </w:pPr>
            <w:r>
              <w:rPr>
                <w:rStyle w:val="12"/>
                <w:rFonts w:hint="eastAsia" w:cs="Arial"/>
                <w:color w:val="000000"/>
                <w:sz w:val="18"/>
                <w:szCs w:val="18"/>
                <w:highlight w:val="none"/>
              </w:rPr>
              <w:t>调整起始日</w:t>
            </w:r>
          </w:p>
        </w:tc>
        <w:tc>
          <w:tcPr>
            <w:tcW w:w="2126" w:type="dxa"/>
            <w:vMerge w:val="restart"/>
            <w:tcBorders>
              <w:top w:val="double" w:color="auto" w:sz="4" w:space="0"/>
              <w:left w:val="nil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napToGrid w:val="0"/>
              <w:spacing w:line="46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  <w:highlight w:val="none"/>
              </w:rPr>
            </w:pPr>
            <w:r>
              <w:rPr>
                <w:rStyle w:val="12"/>
                <w:rFonts w:hint="eastAsia" w:cs="Arial"/>
                <w:color w:val="000000"/>
                <w:sz w:val="18"/>
                <w:szCs w:val="18"/>
                <w:highlight w:val="none"/>
              </w:rPr>
              <w:t>调整截止日</w:t>
            </w:r>
          </w:p>
        </w:tc>
        <w:tc>
          <w:tcPr>
            <w:tcW w:w="2836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</w:tcPr>
          <w:p>
            <w:pPr>
              <w:pStyle w:val="8"/>
              <w:snapToGrid w:val="0"/>
              <w:spacing w:line="460" w:lineRule="atLeast"/>
              <w:jc w:val="center"/>
              <w:rPr>
                <w:rStyle w:val="12"/>
                <w:rFonts w:hint="eastAsia" w:cs="Arial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2"/>
                <w:rFonts w:hint="eastAsia" w:cs="Arial"/>
                <w:color w:val="000000"/>
                <w:sz w:val="18"/>
                <w:szCs w:val="18"/>
                <w:highlight w:val="none"/>
              </w:rPr>
              <w:t>管理费率（年化）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tblHeader/>
          <w:jc w:val="center"/>
        </w:trPr>
        <w:tc>
          <w:tcPr>
            <w:tcW w:w="3813" w:type="dxa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12"/>
                <w:rFonts w:hint="eastAsia" w:cs="Arial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napToGrid w:val="0"/>
              <w:spacing w:line="460" w:lineRule="atLeast"/>
              <w:jc w:val="center"/>
              <w:rPr>
                <w:rStyle w:val="12"/>
                <w:rFonts w:hint="eastAsia" w:cs="Arial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snapToGrid w:val="0"/>
              <w:spacing w:line="460" w:lineRule="atLeast"/>
              <w:jc w:val="center"/>
              <w:rPr>
                <w:rStyle w:val="12"/>
                <w:rFonts w:hint="eastAsia" w:cs="Arial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</w:tcPr>
          <w:p>
            <w:pPr>
              <w:pStyle w:val="8"/>
              <w:snapToGrid w:val="0"/>
              <w:spacing w:line="460" w:lineRule="atLeast"/>
              <w:jc w:val="center"/>
              <w:rPr>
                <w:rStyle w:val="12"/>
                <w:rFonts w:hint="eastAsia" w:cs="Arial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2"/>
                <w:rFonts w:hint="eastAsia" w:cs="Arial"/>
                <w:color w:val="000000"/>
                <w:sz w:val="18"/>
                <w:szCs w:val="18"/>
                <w:highlight w:val="none"/>
              </w:rPr>
              <w:t>调整前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</w:tcPr>
          <w:p>
            <w:pPr>
              <w:pStyle w:val="8"/>
              <w:snapToGrid w:val="0"/>
              <w:spacing w:line="460" w:lineRule="atLeast"/>
              <w:jc w:val="center"/>
              <w:rPr>
                <w:rStyle w:val="12"/>
                <w:rFonts w:hint="eastAsia" w:cs="Arial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2"/>
                <w:rFonts w:hint="eastAsia" w:cs="Arial"/>
                <w:color w:val="000000"/>
                <w:sz w:val="18"/>
                <w:szCs w:val="18"/>
                <w:highlight w:val="none"/>
              </w:rPr>
              <w:t>调整后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建信理财“安鑫”（七天）固定收益类开放式净值型人民币理财产品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Z7000720000677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2024年7月3日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2024年10月8日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建信理财睿鑫固收类最低持有7天产品第1期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Z7000721000907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建信理财嘉鑫固收类按日开放式产品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Z7000722000754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建信理财睿鑫固收类14天定开式产品第1期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Z7000723000505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12日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2024年10月8日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建信理财“嘉鑫”固收类最低持有14天产品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Z7000721000555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建信理财嘉鑫固收类按日开放式产品第13期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Z7000724000223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1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建信理财嘉鑫固收类最低持有7天产品第5期</w:t>
            </w:r>
          </w:p>
        </w:tc>
        <w:tc>
          <w:tcPr>
            <w:tcW w:w="1842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Z7000724000337</w:t>
            </w:r>
          </w:p>
        </w:tc>
        <w:tc>
          <w:tcPr>
            <w:tcW w:w="1985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2024年7月1日</w:t>
            </w:r>
          </w:p>
        </w:tc>
        <w:tc>
          <w:tcPr>
            <w:tcW w:w="2126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2024年9月30日</w:t>
            </w:r>
          </w:p>
        </w:tc>
        <w:tc>
          <w:tcPr>
            <w:tcW w:w="1449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0.20%</w:t>
            </w:r>
          </w:p>
        </w:tc>
        <w:tc>
          <w:tcPr>
            <w:tcW w:w="1387" w:type="dxa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highlight w:val="none"/>
              </w:rPr>
              <w:t>0.15%</w:t>
            </w:r>
          </w:p>
        </w:tc>
      </w:tr>
    </w:tbl>
    <w:p>
      <w:pPr>
        <w:pStyle w:val="8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自调整截止日后，管理费率恢复至原费率水平。</w:t>
      </w:r>
    </w:p>
    <w:p>
      <w:pPr>
        <w:pStyle w:val="8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  <w:highlight w:val="none"/>
        </w:rPr>
      </w:pPr>
      <w:r>
        <w:rPr>
          <w:rFonts w:hint="eastAsia" w:cs="Arial"/>
          <w:color w:val="000000"/>
          <w:sz w:val="21"/>
          <w:szCs w:val="21"/>
          <w:highlight w:val="none"/>
        </w:rPr>
        <w:t>本公告未提及事宜，按原产品说明书和风险揭示书的约定执行。</w:t>
      </w:r>
    </w:p>
    <w:p>
      <w:pPr>
        <w:pStyle w:val="8"/>
        <w:snapToGrid w:val="0"/>
        <w:spacing w:line="460" w:lineRule="atLeast"/>
        <w:ind w:firstLine="420"/>
        <w:rPr>
          <w:rFonts w:ascii="微软雅黑" w:hAnsi="微软雅黑" w:eastAsia="微软雅黑" w:cs="Arial"/>
          <w:color w:val="666666"/>
          <w:sz w:val="21"/>
          <w:szCs w:val="21"/>
          <w:highlight w:val="none"/>
        </w:rPr>
      </w:pPr>
      <w:r>
        <w:rPr>
          <w:rFonts w:hint="eastAsia" w:ascii="微软雅黑" w:hAnsi="微软雅黑" w:eastAsia="微软雅黑" w:cs="Arial"/>
          <w:color w:val="666666"/>
          <w:sz w:val="21"/>
          <w:szCs w:val="21"/>
          <w:highlight w:val="none"/>
        </w:rPr>
        <w:t> </w:t>
      </w:r>
      <w:r>
        <w:rPr>
          <w:rFonts w:hint="eastAsia" w:cs="Arial"/>
          <w:color w:val="000000"/>
          <w:sz w:val="21"/>
          <w:szCs w:val="21"/>
          <w:highlight w:val="none"/>
        </w:rPr>
        <w:t>特此公告。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  <w:highlight w:val="none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highlight w:val="none"/>
        </w:rPr>
        <w:t>建信理财有限责任公司</w:t>
      </w:r>
    </w:p>
    <w:p>
      <w:pPr>
        <w:pStyle w:val="8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4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月2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7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7EA0"/>
    <w:rsid w:val="001F2FA8"/>
    <w:rsid w:val="001F3D53"/>
    <w:rsid w:val="001F5C42"/>
    <w:rsid w:val="0020383E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C2F5A"/>
    <w:rsid w:val="002C4F3F"/>
    <w:rsid w:val="002C6C4E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7EFE"/>
    <w:rsid w:val="003D0B79"/>
    <w:rsid w:val="003E495A"/>
    <w:rsid w:val="003F32E8"/>
    <w:rsid w:val="00404CCA"/>
    <w:rsid w:val="00410996"/>
    <w:rsid w:val="00413F68"/>
    <w:rsid w:val="00414D9A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24198"/>
    <w:rsid w:val="006253E7"/>
    <w:rsid w:val="00630849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7F8C"/>
    <w:rsid w:val="007A228B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54EC"/>
    <w:rsid w:val="00877430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A56FC"/>
    <w:rsid w:val="00BA7325"/>
    <w:rsid w:val="00BC1DB3"/>
    <w:rsid w:val="00BC3199"/>
    <w:rsid w:val="00BD1F22"/>
    <w:rsid w:val="00BD70E5"/>
    <w:rsid w:val="00BF1931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5247C64"/>
    <w:rsid w:val="4B475C70"/>
    <w:rsid w:val="55BE697C"/>
    <w:rsid w:val="5E44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character" w:customStyle="1" w:styleId="17">
    <w:name w:val="im-content1"/>
    <w:basedOn w:val="11"/>
    <w:qFormat/>
    <w:uiPriority w:val="0"/>
    <w:rPr>
      <w:color w:val="333333"/>
    </w:rPr>
  </w:style>
  <w:style w:type="character" w:customStyle="1" w:styleId="18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1"/>
    <w:link w:val="3"/>
    <w:semiHidden/>
    <w:qFormat/>
    <w:uiPriority w:val="99"/>
  </w:style>
  <w:style w:type="character" w:customStyle="1" w:styleId="22">
    <w:name w:val="批注主题 字符"/>
    <w:basedOn w:val="21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A15E-6473-4617-A202-A9C18E4350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502</Words>
  <Characters>2865</Characters>
  <Lines>23</Lines>
  <Paragraphs>6</Paragraphs>
  <TotalTime>104</TotalTime>
  <ScaleCrop>false</ScaleCrop>
  <LinksUpToDate>false</LinksUpToDate>
  <CharactersWithSpaces>3361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2022-12-20T09:38:00Z</dcterms:created>
  <dc:creator>罗婷婷</dc:creator>
  <cp:lastModifiedBy>jxlc</cp:lastModifiedBy>
  <cp:lastPrinted>2020-06-05T03:13:00Z</cp:lastPrinted>
  <dcterms:modified xsi:type="dcterms:W3CDTF">2024-07-10T06:32:34Z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