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35E1">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关于调整建信理财嘉鑫（稳利）法人版固收类按日开放式产品第4期</w:t>
      </w:r>
      <w:r>
        <w:rPr>
          <w:rFonts w:hint="eastAsia" w:ascii="彩虹小标宋" w:eastAsia="彩虹小标宋"/>
          <w:sz w:val="44"/>
          <w:szCs w:val="44"/>
          <w:lang w:val="en-US" w:eastAsia="zh-CN"/>
        </w:rPr>
        <w:t>申购限制</w:t>
      </w:r>
      <w:r>
        <w:rPr>
          <w:rFonts w:hint="eastAsia" w:ascii="彩虹小标宋" w:eastAsia="彩虹小标宋"/>
          <w:sz w:val="44"/>
          <w:szCs w:val="44"/>
        </w:rPr>
        <w:t>的公告</w:t>
      </w:r>
    </w:p>
    <w:p w14:paraId="21DEF8AF">
      <w:pPr>
        <w:spacing w:line="560" w:lineRule="exact"/>
        <w:rPr>
          <w:rFonts w:ascii="彩虹粗仿宋" w:eastAsia="彩虹粗仿宋"/>
          <w:sz w:val="32"/>
          <w:szCs w:val="32"/>
        </w:rPr>
      </w:pPr>
    </w:p>
    <w:p w14:paraId="78A1EF3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67E2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根据产品投资运作需要，建信理财嘉鑫（稳利）法人版固收类按日开放式产品第4期（全国银行业理财信息登记系统编码：Z7000724000959）将于</w:t>
      </w:r>
      <w:r>
        <w:rPr>
          <w:rFonts w:ascii="彩虹粗仿宋" w:eastAsia="彩虹粗仿宋"/>
          <w:sz w:val="32"/>
          <w:szCs w:val="32"/>
        </w:rPr>
        <w:t>2024</w:t>
      </w:r>
      <w:r>
        <w:rPr>
          <w:rFonts w:hint="eastAsia" w:ascii="彩虹粗仿宋" w:eastAsia="彩虹粗仿宋"/>
          <w:sz w:val="32"/>
          <w:szCs w:val="32"/>
        </w:rPr>
        <w:t>年</w:t>
      </w:r>
      <w:r>
        <w:rPr>
          <w:rFonts w:hint="eastAsia" w:ascii="彩虹粗仿宋" w:eastAsia="彩虹粗仿宋"/>
          <w:sz w:val="32"/>
          <w:szCs w:val="32"/>
          <w:lang w:val="en-US" w:eastAsia="zh-CN"/>
        </w:rPr>
        <w:t>10</w:t>
      </w:r>
      <w:r>
        <w:rPr>
          <w:rFonts w:hint="eastAsia" w:ascii="彩虹粗仿宋" w:eastAsia="彩虹粗仿宋"/>
          <w:sz w:val="32"/>
          <w:szCs w:val="32"/>
        </w:rPr>
        <w:t>月</w:t>
      </w:r>
      <w:r>
        <w:rPr>
          <w:rFonts w:hint="eastAsia" w:ascii="彩虹粗仿宋" w:eastAsia="彩虹粗仿宋"/>
          <w:sz w:val="32"/>
          <w:szCs w:val="32"/>
          <w:lang w:val="en-US" w:eastAsia="zh-CN"/>
        </w:rPr>
        <w:t>25</w:t>
      </w:r>
      <w:r>
        <w:rPr>
          <w:rFonts w:hint="eastAsia" w:ascii="彩虹粗仿宋" w:eastAsia="彩虹粗仿宋"/>
          <w:sz w:val="32"/>
          <w:szCs w:val="32"/>
        </w:rPr>
        <w:t>日</w:t>
      </w:r>
      <w:r>
        <w:rPr>
          <w:rFonts w:hint="eastAsia" w:ascii="彩虹粗仿宋" w:eastAsia="彩虹粗仿宋"/>
          <w:sz w:val="32"/>
          <w:szCs w:val="32"/>
          <w:lang w:val="en-US" w:eastAsia="zh-CN"/>
        </w:rPr>
        <w:t>起限制</w:t>
      </w:r>
      <w:r>
        <w:rPr>
          <w:rFonts w:hint="eastAsia" w:ascii="彩虹粗仿宋" w:eastAsia="彩虹粗仿宋"/>
          <w:sz w:val="32"/>
          <w:szCs w:val="32"/>
          <w:highlight w:val="none"/>
          <w:lang w:val="en-US" w:eastAsia="zh-CN"/>
        </w:rPr>
        <w:t>单日净申购金额，单日净申购金额（单日</w:t>
      </w:r>
      <w:bookmarkStart w:id="0" w:name="_GoBack"/>
      <w:bookmarkEnd w:id="0"/>
      <w:r>
        <w:rPr>
          <w:rFonts w:hint="eastAsia" w:ascii="彩虹粗仿宋" w:eastAsia="彩虹粗仿宋"/>
          <w:sz w:val="32"/>
          <w:szCs w:val="32"/>
          <w:highlight w:val="none"/>
          <w:lang w:val="en-US" w:eastAsia="zh-CN"/>
        </w:rPr>
        <w:t>累计申购总金额-单日累计赎回总金额）不得超过500万元</w:t>
      </w:r>
      <w:r>
        <w:rPr>
          <w:rFonts w:hint="eastAsia" w:ascii="彩虹粗仿宋" w:eastAsia="彩虹粗仿宋"/>
          <w:sz w:val="32"/>
          <w:szCs w:val="32"/>
        </w:rPr>
        <w:t>。超出限额的申购申请将会被拒绝，投资者可于下一开放日的9:00-15:30重新提出申购申请。</w:t>
      </w:r>
    </w:p>
    <w:p w14:paraId="2BB59DB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4DCA8DB9">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6D42C84">
      <w:pPr>
        <w:spacing w:line="560" w:lineRule="exact"/>
        <w:ind w:firstLine="640" w:firstLineChars="200"/>
        <w:rPr>
          <w:rFonts w:ascii="彩虹粗仿宋" w:eastAsia="彩虹粗仿宋"/>
          <w:sz w:val="32"/>
          <w:szCs w:val="32"/>
        </w:rPr>
      </w:pPr>
    </w:p>
    <w:p w14:paraId="793A6D64">
      <w:pPr>
        <w:spacing w:line="560" w:lineRule="exact"/>
        <w:ind w:firstLine="640" w:firstLineChars="200"/>
        <w:rPr>
          <w:rFonts w:ascii="彩虹粗仿宋" w:eastAsia="彩虹粗仿宋"/>
          <w:sz w:val="32"/>
          <w:szCs w:val="32"/>
        </w:rPr>
      </w:pPr>
    </w:p>
    <w:p w14:paraId="7BA0730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1274BFC">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ascii="彩虹粗仿宋" w:eastAsia="彩虹粗仿宋"/>
          <w:sz w:val="32"/>
          <w:szCs w:val="32"/>
        </w:rPr>
        <w:t>4</w:t>
      </w:r>
      <w:r>
        <w:rPr>
          <w:rFonts w:hint="eastAsia" w:ascii="彩虹粗仿宋" w:eastAsia="彩虹粗仿宋"/>
          <w:sz w:val="32"/>
          <w:szCs w:val="32"/>
        </w:rPr>
        <w:t>年</w:t>
      </w:r>
      <w:r>
        <w:rPr>
          <w:rFonts w:hint="eastAsia" w:ascii="彩虹粗仿宋" w:eastAsia="彩虹粗仿宋"/>
          <w:sz w:val="32"/>
          <w:szCs w:val="32"/>
          <w:lang w:val="en-US" w:eastAsia="zh-CN"/>
        </w:rPr>
        <w:t>10</w:t>
      </w:r>
      <w:r>
        <w:rPr>
          <w:rFonts w:hint="eastAsia" w:ascii="彩虹粗仿宋" w:eastAsia="彩虹粗仿宋"/>
          <w:sz w:val="32"/>
          <w:szCs w:val="32"/>
        </w:rPr>
        <w:t>月</w:t>
      </w:r>
      <w:r>
        <w:rPr>
          <w:rFonts w:hint="eastAsia" w:ascii="彩虹粗仿宋" w:eastAsia="彩虹粗仿宋"/>
          <w:sz w:val="32"/>
          <w:szCs w:val="32"/>
          <w:lang w:val="en-US" w:eastAsia="zh-CN"/>
        </w:rPr>
        <w:t>24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1C655C15"/>
    <w:rsid w:val="22E4034F"/>
    <w:rsid w:val="35E62571"/>
    <w:rsid w:val="3DE57042"/>
    <w:rsid w:val="4DAE39CA"/>
    <w:rsid w:val="65B0299F"/>
    <w:rsid w:val="689B1382"/>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211</Characters>
  <Lines>1</Lines>
  <Paragraphs>1</Paragraphs>
  <TotalTime>0</TotalTime>
  <ScaleCrop>false</ScaleCrop>
  <LinksUpToDate>false</LinksUpToDate>
  <CharactersWithSpaces>238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2024-10-24T08:21:17Z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DB79D4BEB8E644AAB6912C05EA4E672C_13</vt:lpwstr>
  </property>
</Properties>
</file>