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D1367">
      <w:pPr>
        <w:widowControl/>
        <w:spacing w:before="100" w:beforeAutospacing="1" w:after="100" w:afterAutospacing="1" w:line="460" w:lineRule="atLeast"/>
        <w:jc w:val="center"/>
        <w:rPr>
          <w:rFonts w:ascii="宋体" w:hAnsi="宋体" w:eastAsia="宋体" w:cs="Arial"/>
          <w:b/>
          <w:color w:val="000000"/>
          <w:kern w:val="0"/>
          <w:szCs w:val="21"/>
        </w:rPr>
      </w:pPr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关于调整建信理财嘉鑫（法人版）固收类按日开放式产品第2期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lang w:val="en-US" w:eastAsia="zh-CN"/>
        </w:rPr>
        <w:t>管理费率</w:t>
      </w:r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的公告</w:t>
      </w:r>
    </w:p>
    <w:p w14:paraId="04D52AA8">
      <w:pPr>
        <w:pStyle w:val="2"/>
        <w:snapToGrid w:val="0"/>
        <w:spacing w:line="460" w:lineRule="atLeast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尊敬的客户：</w:t>
      </w:r>
    </w:p>
    <w:p w14:paraId="4D961771">
      <w:pPr>
        <w:pStyle w:val="2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为更好地为客户提供投资理财服务，建信理财有限责任公司拟于2</w:t>
      </w:r>
      <w:r>
        <w:rPr>
          <w:rFonts w:cs="Arial"/>
          <w:color w:val="000000"/>
          <w:sz w:val="21"/>
          <w:szCs w:val="21"/>
        </w:rPr>
        <w:t>02</w:t>
      </w:r>
      <w:r>
        <w:rPr>
          <w:rFonts w:hint="eastAsia" w:cs="Arial"/>
          <w:color w:val="000000"/>
          <w:sz w:val="21"/>
          <w:szCs w:val="21"/>
        </w:rPr>
        <w:t>4年</w:t>
      </w:r>
      <w:r>
        <w:rPr>
          <w:rFonts w:cs="Arial"/>
          <w:color w:val="000000"/>
          <w:sz w:val="21"/>
          <w:szCs w:val="21"/>
        </w:rPr>
        <w:t>1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1</w:t>
      </w:r>
      <w:r>
        <w:rPr>
          <w:rFonts w:hint="eastAsia" w:cs="Arial"/>
          <w:color w:val="000000"/>
          <w:sz w:val="21"/>
          <w:szCs w:val="21"/>
        </w:rPr>
        <w:t>月1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6</w:t>
      </w:r>
      <w:r>
        <w:rPr>
          <w:rFonts w:hint="eastAsia" w:cs="Arial"/>
          <w:color w:val="000000"/>
          <w:sz w:val="21"/>
          <w:szCs w:val="21"/>
        </w:rPr>
        <w:t>日起（含）调整</w:t>
      </w:r>
      <w:r>
        <w:rPr>
          <w:rFonts w:hint="eastAsia" w:ascii="宋体" w:hAnsi="宋体"/>
          <w:sz w:val="20"/>
        </w:rPr>
        <w:t>建信理财嘉鑫（法人版）固收类按日开放式产品第2期</w:t>
      </w:r>
      <w:r>
        <w:rPr>
          <w:rFonts w:hint="eastAsia" w:cs="Arial"/>
          <w:color w:val="000000"/>
          <w:sz w:val="21"/>
          <w:szCs w:val="21"/>
        </w:rPr>
        <w:t>产品的管理费率，并相应修改产品风险揭示书和产品说明书的相关内容，具体调整内容如下：</w:t>
      </w:r>
    </w:p>
    <w:tbl>
      <w:tblPr>
        <w:tblStyle w:val="3"/>
        <w:tblW w:w="4350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3"/>
        <w:gridCol w:w="1708"/>
        <w:gridCol w:w="1977"/>
        <w:gridCol w:w="2168"/>
        <w:gridCol w:w="2168"/>
        <w:gridCol w:w="2168"/>
      </w:tblGrid>
      <w:tr w14:paraId="613782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tblHeader/>
          <w:jc w:val="center"/>
        </w:trPr>
        <w:tc>
          <w:tcPr>
            <w:tcW w:w="2106" w:type="dxa"/>
            <w:vMerge w:val="restart"/>
            <w:vAlign w:val="center"/>
          </w:tcPr>
          <w:p w14:paraId="17F1658C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1678" w:type="dxa"/>
            <w:vMerge w:val="restart"/>
            <w:vAlign w:val="center"/>
          </w:tcPr>
          <w:p w14:paraId="560934D2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Style w:val="5"/>
                <w:rFonts w:hint="eastAsia" w:cs="Arial"/>
                <w:color w:val="00000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943" w:type="dxa"/>
            <w:vMerge w:val="restart"/>
            <w:vAlign w:val="center"/>
          </w:tcPr>
          <w:p w14:paraId="0CACA5DB">
            <w:pPr>
              <w:pStyle w:val="2"/>
              <w:snapToGrid w:val="0"/>
              <w:spacing w:line="460" w:lineRule="atLeast"/>
              <w:jc w:val="center"/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Style w:val="5"/>
                <w:rFonts w:hint="eastAsia" w:cs="Arial"/>
                <w:color w:val="000000"/>
                <w:sz w:val="18"/>
                <w:szCs w:val="18"/>
              </w:rPr>
              <w:t>调整起始日</w:t>
            </w:r>
          </w:p>
        </w:tc>
        <w:tc>
          <w:tcPr>
            <w:tcW w:w="2130" w:type="dxa"/>
            <w:vMerge w:val="restart"/>
            <w:vAlign w:val="center"/>
          </w:tcPr>
          <w:p w14:paraId="71B95EC9">
            <w:pPr>
              <w:pStyle w:val="2"/>
              <w:snapToGrid w:val="0"/>
              <w:spacing w:line="460" w:lineRule="atLeast"/>
              <w:jc w:val="center"/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Style w:val="5"/>
                <w:rFonts w:hint="eastAsia" w:cs="Arial"/>
                <w:color w:val="000000"/>
                <w:sz w:val="18"/>
                <w:szCs w:val="18"/>
              </w:rPr>
              <w:t>调整截止日</w:t>
            </w:r>
          </w:p>
        </w:tc>
        <w:tc>
          <w:tcPr>
            <w:tcW w:w="4260" w:type="dxa"/>
            <w:gridSpan w:val="2"/>
            <w:vAlign w:val="center"/>
          </w:tcPr>
          <w:p w14:paraId="2351C94A">
            <w:pPr>
              <w:pStyle w:val="2"/>
              <w:snapToGrid w:val="0"/>
              <w:spacing w:line="460" w:lineRule="atLeast"/>
              <w:jc w:val="center"/>
              <w:rPr>
                <w:rStyle w:val="5"/>
                <w:color w:val="000000"/>
              </w:rPr>
            </w:pPr>
            <w:r>
              <w:rPr>
                <w:rStyle w:val="5"/>
                <w:rFonts w:hint="eastAsia" w:cs="Arial"/>
                <w:color w:val="000000"/>
                <w:sz w:val="18"/>
                <w:szCs w:val="18"/>
              </w:rPr>
              <w:t>管理费率（年化）</w:t>
            </w:r>
          </w:p>
        </w:tc>
      </w:tr>
      <w:tr w14:paraId="7985BD4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tblHeader/>
          <w:jc w:val="center"/>
        </w:trPr>
        <w:tc>
          <w:tcPr>
            <w:tcW w:w="2106" w:type="dxa"/>
            <w:vMerge w:val="continue"/>
            <w:vAlign w:val="center"/>
          </w:tcPr>
          <w:p w14:paraId="71607D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678" w:type="dxa"/>
            <w:vMerge w:val="continue"/>
            <w:vAlign w:val="center"/>
          </w:tcPr>
          <w:p w14:paraId="7953AD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vMerge w:val="continue"/>
            <w:vAlign w:val="center"/>
          </w:tcPr>
          <w:p w14:paraId="4B460578">
            <w:pPr>
              <w:widowControl/>
              <w:jc w:val="center"/>
              <w:rPr>
                <w:rFonts w:ascii="Arial" w:hAnsi="Arial" w:eastAsia="宋体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vMerge w:val="continue"/>
            <w:vAlign w:val="center"/>
          </w:tcPr>
          <w:p w14:paraId="5B1DAA49">
            <w:pPr>
              <w:widowControl/>
              <w:jc w:val="center"/>
              <w:rPr>
                <w:rFonts w:ascii="Arial" w:hAnsi="Arial" w:eastAsia="宋体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vAlign w:val="center"/>
          </w:tcPr>
          <w:p w14:paraId="518B5324">
            <w:pPr>
              <w:pStyle w:val="2"/>
              <w:snapToGrid w:val="0"/>
              <w:spacing w:line="460" w:lineRule="atLeast"/>
              <w:jc w:val="center"/>
              <w:rPr>
                <w:rStyle w:val="5"/>
                <w:rFonts w:cs="Arial"/>
                <w:color w:val="000000"/>
                <w:sz w:val="18"/>
                <w:szCs w:val="18"/>
              </w:rPr>
            </w:pPr>
            <w:r>
              <w:rPr>
                <w:rStyle w:val="5"/>
                <w:rFonts w:hint="eastAsia" w:cs="Arial"/>
                <w:color w:val="000000"/>
                <w:sz w:val="18"/>
                <w:szCs w:val="18"/>
              </w:rPr>
              <w:t>调整前</w:t>
            </w:r>
          </w:p>
        </w:tc>
        <w:tc>
          <w:tcPr>
            <w:tcW w:w="2130" w:type="dxa"/>
            <w:vAlign w:val="center"/>
          </w:tcPr>
          <w:p w14:paraId="78E38C2B">
            <w:pPr>
              <w:pStyle w:val="2"/>
              <w:snapToGrid w:val="0"/>
              <w:spacing w:line="460" w:lineRule="atLeast"/>
              <w:jc w:val="center"/>
              <w:rPr>
                <w:rStyle w:val="5"/>
                <w:rFonts w:cs="Arial"/>
                <w:color w:val="000000"/>
                <w:sz w:val="18"/>
                <w:szCs w:val="18"/>
              </w:rPr>
            </w:pPr>
            <w:r>
              <w:rPr>
                <w:rStyle w:val="5"/>
                <w:rFonts w:hint="eastAsia" w:cs="Arial"/>
                <w:color w:val="000000"/>
                <w:sz w:val="18"/>
                <w:szCs w:val="18"/>
              </w:rPr>
              <w:t>调整后</w:t>
            </w:r>
          </w:p>
        </w:tc>
      </w:tr>
      <w:tr w14:paraId="46F5D39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2106" w:type="dxa"/>
            <w:vAlign w:val="center"/>
          </w:tcPr>
          <w:p w14:paraId="46F3A3B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建信理财嘉鑫（法人版）固收类按日开放式产品第2期产品</w:t>
            </w:r>
          </w:p>
        </w:tc>
        <w:tc>
          <w:tcPr>
            <w:tcW w:w="1678" w:type="dxa"/>
            <w:vAlign w:val="center"/>
          </w:tcPr>
          <w:p w14:paraId="2AFC314C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Z7000724000819</w:t>
            </w:r>
          </w:p>
        </w:tc>
        <w:tc>
          <w:tcPr>
            <w:tcW w:w="1943" w:type="dxa"/>
            <w:vAlign w:val="center"/>
          </w:tcPr>
          <w:p w14:paraId="22E60F5D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2024年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月1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2130" w:type="dxa"/>
            <w:vAlign w:val="center"/>
          </w:tcPr>
          <w:p w14:paraId="6A048749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年2月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2130" w:type="dxa"/>
            <w:vAlign w:val="center"/>
          </w:tcPr>
          <w:p w14:paraId="48D9A8A6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0.20%</w:t>
            </w:r>
          </w:p>
        </w:tc>
        <w:tc>
          <w:tcPr>
            <w:tcW w:w="2130" w:type="dxa"/>
            <w:vAlign w:val="center"/>
          </w:tcPr>
          <w:p w14:paraId="659EFA67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 w:val="18"/>
                <w:szCs w:val="18"/>
              </w:rPr>
              <w:t>%</w:t>
            </w:r>
          </w:p>
        </w:tc>
      </w:tr>
    </w:tbl>
    <w:p w14:paraId="53C04E10">
      <w:pPr>
        <w:pStyle w:val="2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自调整截止日后，管理费率恢复至原费率水平。</w:t>
      </w:r>
    </w:p>
    <w:p w14:paraId="49485491">
      <w:pPr>
        <w:pStyle w:val="2"/>
        <w:spacing w:line="460" w:lineRule="atLeast"/>
        <w:ind w:firstLine="420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本公告未提及事宜，按原产品说明书和风险揭示书的约定执行。</w:t>
      </w:r>
    </w:p>
    <w:p w14:paraId="57192C05">
      <w:pPr>
        <w:pStyle w:val="2"/>
        <w:snapToGrid w:val="0"/>
        <w:spacing w:line="460" w:lineRule="atLeast"/>
        <w:ind w:firstLine="420"/>
        <w:rPr>
          <w:rFonts w:hint="eastAsia" w:cs="Arial"/>
          <w:color w:val="000000"/>
          <w:sz w:val="21"/>
          <w:szCs w:val="21"/>
        </w:rPr>
      </w:pPr>
      <w:r>
        <w:rPr>
          <w:rFonts w:hint="eastAsia" w:ascii="微软雅黑" w:hAnsi="微软雅黑" w:eastAsia="微软雅黑" w:cs="Arial"/>
          <w:color w:val="666666"/>
          <w:sz w:val="21"/>
          <w:szCs w:val="21"/>
        </w:rPr>
        <w:t> </w:t>
      </w:r>
      <w:r>
        <w:rPr>
          <w:rFonts w:hint="eastAsia" w:cs="Arial"/>
          <w:color w:val="000000"/>
          <w:sz w:val="21"/>
          <w:szCs w:val="21"/>
        </w:rPr>
        <w:t>特此公告</w:t>
      </w:r>
    </w:p>
    <w:p w14:paraId="77F78B1E">
      <w:pPr>
        <w:pStyle w:val="2"/>
        <w:snapToGrid w:val="0"/>
        <w:spacing w:line="460" w:lineRule="atLeast"/>
        <w:ind w:firstLine="420"/>
        <w:rPr>
          <w:rFonts w:hint="eastAsia" w:cs="Arial"/>
          <w:color w:val="000000"/>
          <w:sz w:val="21"/>
          <w:szCs w:val="21"/>
        </w:rPr>
      </w:pPr>
    </w:p>
    <w:p w14:paraId="6CC573A4">
      <w:pPr>
        <w:pStyle w:val="2"/>
        <w:snapToGrid w:val="0"/>
        <w:spacing w:before="0" w:beforeAutospacing="0" w:after="0" w:afterAutospacing="0" w:line="460" w:lineRule="atLeast"/>
        <w:ind w:firstLine="420"/>
        <w:jc w:val="right"/>
        <w:rPr>
          <w:rFonts w:cs="Arial" w:asciiTheme="minorEastAsia" w:hAnsiTheme="minorEastAsia" w:eastAsiaTheme="minorEastAsia"/>
          <w:color w:val="666666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建信理财有限责任公司</w:t>
      </w:r>
    </w:p>
    <w:p w14:paraId="6444B506">
      <w:pPr>
        <w:pStyle w:val="2"/>
        <w:snapToGrid w:val="0"/>
        <w:spacing w:before="0" w:beforeAutospacing="0" w:after="0" w:afterAutospacing="0" w:line="460" w:lineRule="atLeast"/>
        <w:ind w:firstLine="420"/>
        <w:jc w:val="right"/>
        <w:rPr>
          <w:rFonts w:cs="Arial" w:asciiTheme="minorEastAsia" w:hAnsiTheme="minorEastAsia" w:eastAsiaTheme="minorEastAsia"/>
          <w:color w:val="666666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202</w:t>
      </w:r>
      <w:r>
        <w:rPr>
          <w:rFonts w:cs="Arial" w:asciiTheme="minorEastAsia" w:hAnsiTheme="minorEastAsia" w:eastAsiaTheme="minorEastAsia"/>
          <w:color w:val="000000"/>
          <w:sz w:val="21"/>
          <w:szCs w:val="21"/>
        </w:rPr>
        <w:t>4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年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11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月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11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日</w:t>
      </w:r>
    </w:p>
    <w:p w14:paraId="454CFB5F">
      <w:pPr>
        <w:pStyle w:val="2"/>
        <w:snapToGrid w:val="0"/>
        <w:spacing w:line="460" w:lineRule="atLeast"/>
        <w:ind w:firstLine="420"/>
        <w:rPr>
          <w:rFonts w:hint="eastAsia" w:cs="Arial"/>
          <w:color w:val="000000"/>
          <w:sz w:val="21"/>
          <w:szCs w:val="21"/>
        </w:rPr>
      </w:pPr>
      <w:bookmarkStart w:id="0" w:name="_GoBack"/>
      <w:bookmarkEnd w:id="0"/>
    </w:p>
    <w:p w14:paraId="041E5706">
      <w:pPr>
        <w:pStyle w:val="2"/>
        <w:snapToGrid w:val="0"/>
        <w:spacing w:line="460" w:lineRule="atLeast"/>
        <w:ind w:firstLine="420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 </w:t>
      </w:r>
    </w:p>
    <w:p w14:paraId="44EF84A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B2E50"/>
    <w:rsid w:val="54CB2E50"/>
    <w:rsid w:val="747B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2024-11-11T01:06:00Z</dcterms:created>
  <dc:creator>jxlc</dc:creator>
  <cp:lastModifiedBy>jxlc</cp:lastModifiedBy>
  <dcterms:modified xsi:type="dcterms:W3CDTF">2024-11-11T06:06:02Z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DEBD07D541514CE8A893BA008B1CDA01_11</vt:lpwstr>
  </property>
</Properties>
</file>