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ascii="彩虹小标宋" w:hAnsi="微软雅黑" w:eastAsia="彩虹小标宋" w:cs="Arial"/>
          <w:bCs/>
          <w:color w:val="000000" w:themeColor="text1"/>
          <w:kern w:val="0"/>
          <w:sz w:val="44"/>
          <w:szCs w:val="44"/>
          <w:highlight w:val="none"/>
          <w14:textFill>
            <w14:solidFill>
              <w14:schemeClr w14:val="tx1"/>
            </w14:solidFill>
          </w14:textFill>
        </w:rPr>
      </w:pPr>
      <w:r>
        <w:rPr>
          <w:rFonts w:hint="eastAsia" w:ascii="彩虹小标宋" w:hAnsi="微软雅黑" w:eastAsia="彩虹小标宋" w:cs="Arial"/>
          <w:bCs/>
          <w:color w:val="000000" w:themeColor="text1"/>
          <w:kern w:val="0"/>
          <w:sz w:val="44"/>
          <w:szCs w:val="44"/>
          <w:highlight w:val="none"/>
          <w14:textFill>
            <w14:solidFill>
              <w14:schemeClr w14:val="tx1"/>
            </w14:solidFill>
          </w14:textFill>
        </w:rPr>
        <w:t>关于建信理财龙宝（龙商宝）按日开放式产品6号</w:t>
      </w:r>
    </w:p>
    <w:p>
      <w:pPr>
        <w:widowControl/>
        <w:snapToGrid w:val="0"/>
        <w:spacing w:line="560" w:lineRule="exact"/>
        <w:jc w:val="center"/>
        <w:rPr>
          <w:rFonts w:hint="eastAsia" w:ascii="彩虹小标宋" w:hAnsi="微软雅黑" w:eastAsia="彩虹小标宋" w:cs="Arial"/>
          <w:bCs/>
          <w:color w:val="000000" w:themeColor="text1"/>
          <w:kern w:val="0"/>
          <w:sz w:val="44"/>
          <w:szCs w:val="44"/>
          <w:highlight w:val="none"/>
          <w:lang w:val="en-US" w:eastAsia="zh-CN"/>
          <w14:textFill>
            <w14:solidFill>
              <w14:schemeClr w14:val="tx1"/>
            </w14:solidFill>
          </w14:textFill>
        </w:rPr>
      </w:pPr>
      <w:r>
        <w:rPr>
          <w:rFonts w:hint="eastAsia" w:ascii="彩虹小标宋" w:hAnsi="微软雅黑" w:eastAsia="彩虹小标宋" w:cs="Arial"/>
          <w:bCs/>
          <w:color w:val="000000" w:themeColor="text1"/>
          <w:kern w:val="0"/>
          <w:sz w:val="44"/>
          <w:szCs w:val="44"/>
          <w:highlight w:val="none"/>
          <w:lang w:val="en-US" w:eastAsia="zh-CN"/>
          <w14:textFill>
            <w14:solidFill>
              <w14:schemeClr w14:val="tx1"/>
            </w14:solidFill>
          </w14:textFill>
        </w:rPr>
        <w:t>要素</w:t>
      </w:r>
      <w:r>
        <w:rPr>
          <w:rFonts w:hint="eastAsia" w:ascii="彩虹小标宋" w:hAnsi="微软雅黑" w:eastAsia="彩虹小标宋" w:cs="Arial"/>
          <w:bCs/>
          <w:color w:val="000000" w:themeColor="text1"/>
          <w:kern w:val="0"/>
          <w:sz w:val="44"/>
          <w:szCs w:val="44"/>
          <w:highlight w:val="none"/>
          <w14:textFill>
            <w14:solidFill>
              <w14:schemeClr w14:val="tx1"/>
            </w14:solidFill>
          </w14:textFill>
        </w:rPr>
        <w:t>变更的公告</w:t>
      </w:r>
      <w:r>
        <w:rPr>
          <w:rFonts w:hint="eastAsia" w:ascii="彩虹小标宋" w:hAnsi="微软雅黑" w:eastAsia="彩虹小标宋" w:cs="Arial"/>
          <w:bCs/>
          <w:color w:val="000000" w:themeColor="text1"/>
          <w:kern w:val="0"/>
          <w:sz w:val="44"/>
          <w:szCs w:val="44"/>
          <w:highlight w:val="none"/>
          <w:lang w:val="en-US" w:eastAsia="zh-CN"/>
          <w14:textFill>
            <w14:solidFill>
              <w14:schemeClr w14:val="tx1"/>
            </w14:solidFill>
          </w14:textFill>
        </w:rPr>
        <w:t>-JXJXLBGS240531001</w:t>
      </w:r>
    </w:p>
    <w:p>
      <w:pPr>
        <w:widowControl/>
        <w:snapToGrid w:val="0"/>
        <w:spacing w:line="560" w:lineRule="exact"/>
        <w:rPr>
          <w:rFonts w:ascii="彩虹小标宋" w:hAnsi="微软雅黑" w:eastAsia="彩虹小标宋" w:cs="Arial"/>
          <w:b/>
          <w:bCs/>
          <w:color w:val="000000" w:themeColor="text1"/>
          <w:kern w:val="0"/>
          <w:sz w:val="44"/>
          <w:szCs w:val="44"/>
          <w:highlight w:val="none"/>
          <w14:textFill>
            <w14:solidFill>
              <w14:schemeClr w14:val="tx1"/>
            </w14:solidFill>
          </w14:textFill>
        </w:rPr>
      </w:pPr>
    </w:p>
    <w:p>
      <w:pPr>
        <w:widowControl/>
        <w:snapToGrid w:val="0"/>
        <w:spacing w:line="560" w:lineRule="exact"/>
        <w:rPr>
          <w:rFonts w:ascii="彩虹粗仿宋" w:hAnsi="微软雅黑" w:eastAsia="彩虹粗仿宋" w:cs="Arial"/>
          <w:color w:val="666666"/>
          <w:kern w:val="0"/>
          <w:sz w:val="32"/>
          <w:szCs w:val="32"/>
          <w:highlight w:val="none"/>
        </w:rPr>
      </w:pPr>
      <w:r>
        <w:rPr>
          <w:rFonts w:hint="eastAsia" w:ascii="彩虹粗仿宋" w:hAnsi="宋体" w:eastAsia="彩虹粗仿宋" w:cs="Arial"/>
          <w:color w:val="000000"/>
          <w:kern w:val="0"/>
          <w:sz w:val="32"/>
          <w:szCs w:val="32"/>
          <w:highlight w:val="none"/>
        </w:rPr>
        <w:t>尊敬的投资者：</w:t>
      </w:r>
    </w:p>
    <w:p>
      <w:pPr>
        <w:widowControl/>
        <w:snapToGrid w:val="0"/>
        <w:spacing w:line="560" w:lineRule="exact"/>
        <w:ind w:firstLine="640" w:firstLineChars="200"/>
        <w:rPr>
          <w:rFonts w:ascii="彩虹粗仿宋" w:hAnsi="宋体" w:eastAsia="彩虹粗仿宋" w:cs="Arial"/>
          <w:color w:val="000000"/>
          <w:kern w:val="0"/>
          <w:sz w:val="32"/>
          <w:szCs w:val="32"/>
          <w:highlight w:val="none"/>
        </w:rPr>
      </w:pPr>
      <w:r>
        <w:rPr>
          <w:rFonts w:hint="eastAsia" w:ascii="彩虹粗仿宋" w:hAnsi="宋体" w:eastAsia="彩虹粗仿宋" w:cs="Arial"/>
          <w:color w:val="000000"/>
          <w:kern w:val="0"/>
          <w:sz w:val="32"/>
          <w:szCs w:val="32"/>
          <w:highlight w:val="none"/>
        </w:rPr>
        <w:t>为更好地为客户提供投资理财服务，建信理财拟于</w:t>
      </w:r>
      <w:r>
        <w:rPr>
          <w:rFonts w:ascii="彩虹粗仿宋" w:hAnsi="宋体" w:eastAsia="彩虹粗仿宋" w:cs="Arial"/>
          <w:color w:val="000000"/>
          <w:kern w:val="0"/>
          <w:sz w:val="32"/>
          <w:szCs w:val="32"/>
          <w:highlight w:val="none"/>
        </w:rPr>
        <w:t>2024</w:t>
      </w:r>
      <w:r>
        <w:rPr>
          <w:rFonts w:hint="eastAsia" w:ascii="彩虹粗仿宋" w:hAnsi="宋体" w:eastAsia="彩虹粗仿宋" w:cs="Arial"/>
          <w:color w:val="000000"/>
          <w:kern w:val="0"/>
          <w:sz w:val="32"/>
          <w:szCs w:val="32"/>
          <w:highlight w:val="none"/>
        </w:rPr>
        <w:t>年</w:t>
      </w:r>
      <w:r>
        <w:rPr>
          <w:rFonts w:hint="eastAsia" w:ascii="彩虹粗仿宋" w:hAnsi="宋体" w:eastAsia="彩虹粗仿宋" w:cs="Arial"/>
          <w:color w:val="000000"/>
          <w:kern w:val="0"/>
          <w:sz w:val="32"/>
          <w:szCs w:val="32"/>
          <w:highlight w:val="none"/>
          <w:lang w:val="en-US" w:eastAsia="zh-CN"/>
        </w:rPr>
        <w:t>11</w:t>
      </w:r>
      <w:r>
        <w:rPr>
          <w:rFonts w:hint="eastAsia" w:ascii="彩虹粗仿宋" w:hAnsi="宋体" w:eastAsia="彩虹粗仿宋" w:cs="Arial"/>
          <w:color w:val="000000"/>
          <w:kern w:val="0"/>
          <w:sz w:val="32"/>
          <w:szCs w:val="32"/>
          <w:highlight w:val="none"/>
        </w:rPr>
        <w:t>月</w:t>
      </w:r>
      <w:r>
        <w:rPr>
          <w:rFonts w:ascii="彩虹粗仿宋" w:hAnsi="宋体" w:eastAsia="彩虹粗仿宋" w:cs="Arial"/>
          <w:color w:val="000000"/>
          <w:kern w:val="0"/>
          <w:sz w:val="32"/>
          <w:szCs w:val="32"/>
          <w:highlight w:val="none"/>
        </w:rPr>
        <w:t>2</w:t>
      </w:r>
      <w:r>
        <w:rPr>
          <w:rFonts w:hint="eastAsia" w:ascii="彩虹粗仿宋" w:hAnsi="宋体" w:eastAsia="彩虹粗仿宋" w:cs="Arial"/>
          <w:color w:val="000000"/>
          <w:kern w:val="0"/>
          <w:sz w:val="32"/>
          <w:szCs w:val="32"/>
          <w:highlight w:val="none"/>
          <w:lang w:val="en-US" w:eastAsia="zh-CN"/>
        </w:rPr>
        <w:t>7</w:t>
      </w:r>
      <w:r>
        <w:rPr>
          <w:rFonts w:hint="eastAsia" w:ascii="彩虹粗仿宋" w:hAnsi="宋体" w:eastAsia="彩虹粗仿宋" w:cs="Arial"/>
          <w:color w:val="000000"/>
          <w:kern w:val="0"/>
          <w:sz w:val="32"/>
          <w:szCs w:val="32"/>
          <w:highlight w:val="none"/>
        </w:rPr>
        <w:t>日</w:t>
      </w:r>
      <w:r>
        <w:rPr>
          <w:rFonts w:hint="eastAsia" w:ascii="彩虹粗仿宋" w:hAnsi="宋体" w:eastAsia="彩虹粗仿宋" w:cs="Arial"/>
          <w:color w:val="000000"/>
          <w:kern w:val="0"/>
          <w:sz w:val="32"/>
          <w:szCs w:val="32"/>
          <w:highlight w:val="none"/>
          <w:lang w:val="en-US" w:eastAsia="zh-CN"/>
        </w:rPr>
        <w:t>起</w:t>
      </w:r>
      <w:r>
        <w:rPr>
          <w:rFonts w:hint="eastAsia" w:ascii="彩虹粗仿宋" w:hAnsi="宋体" w:eastAsia="彩虹粗仿宋" w:cs="Arial"/>
          <w:color w:val="000000"/>
          <w:kern w:val="0"/>
          <w:sz w:val="32"/>
          <w:szCs w:val="32"/>
          <w:highlight w:val="none"/>
        </w:rPr>
        <w:t>调整建信理财龙宝（龙商宝）按日开放式产品6号的</w:t>
      </w:r>
      <w:r>
        <w:rPr>
          <w:rFonts w:hint="eastAsia" w:ascii="彩虹粗仿宋" w:hAnsi="宋体" w:eastAsia="彩虹粗仿宋" w:cs="Arial"/>
          <w:color w:val="000000"/>
          <w:kern w:val="0"/>
          <w:sz w:val="32"/>
          <w:szCs w:val="32"/>
          <w:highlight w:val="none"/>
          <w:lang w:val="en-US" w:eastAsia="zh-CN"/>
        </w:rPr>
        <w:t>销售区域及规模上限</w:t>
      </w:r>
      <w:r>
        <w:rPr>
          <w:rFonts w:hint="eastAsia" w:ascii="彩虹粗仿宋" w:hAnsi="宋体" w:eastAsia="彩虹粗仿宋" w:cs="Arial"/>
          <w:color w:val="000000"/>
          <w:kern w:val="0"/>
          <w:sz w:val="32"/>
          <w:szCs w:val="32"/>
          <w:highlight w:val="none"/>
        </w:rPr>
        <w:t>，产品明细和调整</w:t>
      </w:r>
      <w:r>
        <w:rPr>
          <w:rFonts w:ascii="彩虹粗仿宋" w:hAnsi="宋体" w:eastAsia="彩虹粗仿宋" w:cs="Arial"/>
          <w:color w:val="000000"/>
          <w:kern w:val="0"/>
          <w:sz w:val="32"/>
          <w:szCs w:val="32"/>
          <w:highlight w:val="none"/>
        </w:rPr>
        <w:t>内容</w:t>
      </w:r>
      <w:r>
        <w:rPr>
          <w:rFonts w:hint="eastAsia" w:ascii="彩虹粗仿宋" w:hAnsi="宋体" w:eastAsia="彩虹粗仿宋" w:cs="Arial"/>
          <w:color w:val="000000"/>
          <w:kern w:val="0"/>
          <w:sz w:val="32"/>
          <w:szCs w:val="32"/>
          <w:highlight w:val="none"/>
        </w:rPr>
        <w:t>具体</w:t>
      </w:r>
      <w:r>
        <w:rPr>
          <w:rFonts w:ascii="彩虹粗仿宋" w:hAnsi="宋体" w:eastAsia="彩虹粗仿宋" w:cs="Arial"/>
          <w:color w:val="000000"/>
          <w:kern w:val="0"/>
          <w:sz w:val="32"/>
          <w:szCs w:val="32"/>
          <w:highlight w:val="none"/>
        </w:rPr>
        <w:t>如下</w:t>
      </w:r>
      <w:r>
        <w:rPr>
          <w:rFonts w:hint="eastAsia" w:ascii="彩虹粗仿宋" w:hAnsi="宋体" w:eastAsia="彩虹粗仿宋" w:cs="Arial"/>
          <w:color w:val="000000"/>
          <w:kern w:val="0"/>
          <w:sz w:val="32"/>
          <w:szCs w:val="32"/>
          <w:highlight w:val="none"/>
        </w:rPr>
        <w:t>：</w:t>
      </w:r>
    </w:p>
    <w:tbl>
      <w:tblPr>
        <w:tblStyle w:val="9"/>
        <w:tblW w:w="4551" w:type="pct"/>
        <w:jc w:val="center"/>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27"/>
        <w:gridCol w:w="2169"/>
        <w:gridCol w:w="3480"/>
        <w:gridCol w:w="4425"/>
      </w:tblGrid>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atLeast"/>
          <w:tblHeader/>
          <w:jc w:val="center"/>
        </w:trPr>
        <w:tc>
          <w:tcPr>
            <w:tcW w:w="1095" w:type="pct"/>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产品名称</w:t>
            </w:r>
          </w:p>
        </w:tc>
        <w:tc>
          <w:tcPr>
            <w:tcW w:w="840" w:type="pct"/>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全国银行业理财信息登记系统编码</w:t>
            </w:r>
          </w:p>
        </w:tc>
        <w:tc>
          <w:tcPr>
            <w:tcW w:w="1348" w:type="pct"/>
            <w:vAlign w:val="center"/>
          </w:tcPr>
          <w:p>
            <w:pPr>
              <w:snapToGrid w:val="0"/>
              <w:jc w:val="center"/>
              <w:rPr>
                <w:rFonts w:hint="eastAsia" w:ascii="宋体" w:hAnsi="宋体" w:eastAsia="宋体" w:cs="宋体"/>
                <w:b/>
                <w:sz w:val="24"/>
                <w:szCs w:val="24"/>
                <w:lang w:eastAsia="zh-CN"/>
              </w:rPr>
            </w:pPr>
            <w:r>
              <w:rPr>
                <w:rFonts w:hint="eastAsia" w:ascii="宋体" w:hAnsi="宋体" w:eastAsia="宋体" w:cs="宋体"/>
                <w:b/>
                <w:sz w:val="24"/>
                <w:szCs w:val="24"/>
              </w:rPr>
              <w:t>调整前</w:t>
            </w:r>
          </w:p>
        </w:tc>
        <w:tc>
          <w:tcPr>
            <w:tcW w:w="1714" w:type="pct"/>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调整</w:t>
            </w:r>
            <w:r>
              <w:rPr>
                <w:rFonts w:hint="eastAsia" w:ascii="宋体" w:hAnsi="宋体" w:eastAsia="宋体" w:cs="宋体"/>
                <w:b/>
                <w:sz w:val="24"/>
                <w:szCs w:val="24"/>
                <w:lang w:val="en-US" w:eastAsia="zh-CN"/>
              </w:rPr>
              <w:t>后</w:t>
            </w: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7" w:hRule="atLeast"/>
          <w:tblHeader/>
          <w:jc w:val="center"/>
        </w:trPr>
        <w:tc>
          <w:tcPr>
            <w:tcW w:w="1095" w:type="pct"/>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建信理财龙宝（龙商宝）按日开放式产品6号</w:t>
            </w:r>
          </w:p>
        </w:tc>
        <w:tc>
          <w:tcPr>
            <w:tcW w:w="840" w:type="pct"/>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Z7000724000699</w:t>
            </w:r>
          </w:p>
        </w:tc>
        <w:tc>
          <w:tcPr>
            <w:tcW w:w="1348" w:type="pct"/>
            <w:vAlign w:val="center"/>
          </w:tcPr>
          <w:p>
            <w:pPr>
              <w:snapToGrid w:val="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销售区域：</w:t>
            </w:r>
            <w:r>
              <w:rPr>
                <w:rFonts w:hint="eastAsia" w:ascii="宋体" w:hAnsi="宋体" w:eastAsia="宋体" w:cs="宋体"/>
                <w:color w:val="000000" w:themeColor="text1"/>
                <w:kern w:val="0"/>
                <w:sz w:val="24"/>
                <w:szCs w:val="24"/>
                <w14:textFill>
                  <w14:solidFill>
                    <w14:schemeClr w14:val="tx1"/>
                  </w14:solidFill>
                </w14:textFill>
              </w:rPr>
              <w:t>浙江省（含宁波市）</w:t>
            </w:r>
          </w:p>
          <w:p>
            <w:pPr>
              <w:snapToGrid w:val="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存续期规模上限：50亿份</w:t>
            </w:r>
          </w:p>
        </w:tc>
        <w:tc>
          <w:tcPr>
            <w:tcW w:w="1714" w:type="pct"/>
            <w:vAlign w:val="center"/>
          </w:tcPr>
          <w:p>
            <w:pPr>
              <w:snapToGrid w:val="0"/>
              <w:jc w:val="center"/>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销售区域：浙江省（含宁波市）、广西省</w:t>
            </w:r>
            <w:bookmarkStart w:id="0" w:name="_GoBack"/>
            <w:bookmarkEnd w:id="0"/>
          </w:p>
          <w:p>
            <w:pPr>
              <w:snapToGrid w:val="0"/>
              <w:jc w:val="center"/>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存续期规模上限：200亿份</w:t>
            </w:r>
          </w:p>
        </w:tc>
      </w:tr>
    </w:tbl>
    <w:p>
      <w:pPr>
        <w:spacing w:line="560" w:lineRule="exact"/>
        <w:ind w:firstLine="640" w:firstLineChars="200"/>
        <w:rPr>
          <w:rFonts w:ascii="彩虹粗仿宋" w:eastAsia="彩虹粗仿宋"/>
          <w:sz w:val="32"/>
          <w:szCs w:val="32"/>
          <w:highlight w:val="none"/>
        </w:rPr>
      </w:pPr>
      <w:r>
        <w:rPr>
          <w:rFonts w:hint="eastAsia" w:ascii="彩虹粗仿宋" w:eastAsia="彩虹粗仿宋"/>
          <w:sz w:val="32"/>
          <w:szCs w:val="32"/>
          <w:highlight w:val="none"/>
        </w:rPr>
        <w:t>建信理财有限责任公司将本着勤勉尽职的原则持续为您提供专业化理财服务。</w:t>
      </w:r>
    </w:p>
    <w:p>
      <w:pPr>
        <w:widowControl/>
        <w:snapToGrid w:val="0"/>
        <w:spacing w:line="560" w:lineRule="exact"/>
        <w:ind w:firstLine="640" w:firstLineChars="200"/>
        <w:rPr>
          <w:rFonts w:ascii="彩虹粗仿宋" w:eastAsia="彩虹粗仿宋"/>
          <w:sz w:val="32"/>
          <w:szCs w:val="32"/>
          <w:highlight w:val="none"/>
        </w:rPr>
      </w:pPr>
      <w:r>
        <w:rPr>
          <w:rFonts w:hint="eastAsia" w:ascii="彩虹粗仿宋" w:eastAsia="彩虹粗仿宋"/>
          <w:sz w:val="32"/>
          <w:szCs w:val="32"/>
          <w:highlight w:val="none"/>
        </w:rPr>
        <w:t>特此公告。</w:t>
      </w:r>
    </w:p>
    <w:p>
      <w:pPr>
        <w:widowControl/>
        <w:snapToGrid w:val="0"/>
        <w:spacing w:line="560" w:lineRule="exact"/>
        <w:ind w:firstLine="640" w:firstLineChars="200"/>
        <w:rPr>
          <w:rFonts w:ascii="彩虹粗仿宋" w:hAnsi="宋体" w:eastAsia="彩虹粗仿宋" w:cs="Arial"/>
          <w:color w:val="000000"/>
          <w:kern w:val="0"/>
          <w:sz w:val="32"/>
          <w:szCs w:val="32"/>
          <w:highlight w:val="none"/>
        </w:rPr>
      </w:pPr>
    </w:p>
    <w:p>
      <w:pPr>
        <w:widowControl/>
        <w:snapToGrid w:val="0"/>
        <w:spacing w:line="560" w:lineRule="exact"/>
        <w:ind w:firstLine="420"/>
        <w:rPr>
          <w:rFonts w:ascii="彩虹粗仿宋" w:hAnsi="宋体" w:eastAsia="彩虹粗仿宋" w:cs="Arial"/>
          <w:color w:val="000000"/>
          <w:kern w:val="0"/>
          <w:sz w:val="32"/>
          <w:szCs w:val="32"/>
          <w:highlight w:val="none"/>
        </w:rPr>
      </w:pPr>
    </w:p>
    <w:p>
      <w:pPr>
        <w:widowControl/>
        <w:snapToGrid w:val="0"/>
        <w:spacing w:line="560" w:lineRule="exact"/>
        <w:ind w:firstLine="420"/>
        <w:jc w:val="right"/>
        <w:rPr>
          <w:rFonts w:ascii="彩虹粗仿宋" w:eastAsia="彩虹粗仿宋"/>
          <w:sz w:val="32"/>
          <w:szCs w:val="32"/>
          <w:highlight w:val="none"/>
        </w:rPr>
      </w:pPr>
      <w:r>
        <w:rPr>
          <w:rFonts w:hint="eastAsia" w:ascii="彩虹粗仿宋" w:eastAsia="彩虹粗仿宋"/>
          <w:sz w:val="32"/>
          <w:szCs w:val="32"/>
          <w:highlight w:val="none"/>
        </w:rPr>
        <w:t>建信理财有限责任公司</w:t>
      </w:r>
    </w:p>
    <w:p>
      <w:pPr>
        <w:widowControl/>
        <w:snapToGrid w:val="0"/>
        <w:spacing w:line="560" w:lineRule="exact"/>
        <w:ind w:right="320" w:firstLine="420"/>
        <w:jc w:val="right"/>
        <w:rPr>
          <w:rFonts w:ascii="彩虹粗仿宋" w:eastAsia="彩虹粗仿宋"/>
          <w:highlight w:val="none"/>
        </w:rPr>
      </w:pPr>
      <w:r>
        <w:rPr>
          <w:rFonts w:hint="eastAsia" w:ascii="彩虹粗仿宋" w:hAnsi="宋体" w:eastAsia="彩虹粗仿宋" w:cs="Arial"/>
          <w:color w:val="000000"/>
          <w:kern w:val="0"/>
          <w:sz w:val="32"/>
          <w:szCs w:val="32"/>
          <w:highlight w:val="none"/>
        </w:rPr>
        <w:t>20</w:t>
      </w:r>
      <w:r>
        <w:rPr>
          <w:rFonts w:ascii="彩虹粗仿宋" w:hAnsi="宋体" w:eastAsia="彩虹粗仿宋" w:cs="Arial"/>
          <w:color w:val="000000"/>
          <w:kern w:val="0"/>
          <w:sz w:val="32"/>
          <w:szCs w:val="32"/>
          <w:highlight w:val="none"/>
        </w:rPr>
        <w:t>24</w:t>
      </w:r>
      <w:r>
        <w:rPr>
          <w:rFonts w:hint="eastAsia" w:ascii="彩虹粗仿宋" w:hAnsi="宋体" w:eastAsia="彩虹粗仿宋" w:cs="Arial"/>
          <w:color w:val="000000"/>
          <w:kern w:val="0"/>
          <w:sz w:val="32"/>
          <w:szCs w:val="32"/>
          <w:highlight w:val="none"/>
        </w:rPr>
        <w:t>年</w:t>
      </w:r>
      <w:r>
        <w:rPr>
          <w:rFonts w:hint="eastAsia" w:ascii="彩虹粗仿宋" w:hAnsi="宋体" w:eastAsia="彩虹粗仿宋" w:cs="Arial"/>
          <w:color w:val="000000"/>
          <w:kern w:val="0"/>
          <w:sz w:val="32"/>
          <w:szCs w:val="32"/>
          <w:highlight w:val="none"/>
          <w:lang w:val="en-US" w:eastAsia="zh-CN"/>
        </w:rPr>
        <w:t>11</w:t>
      </w:r>
      <w:r>
        <w:rPr>
          <w:rFonts w:hint="eastAsia" w:ascii="彩虹粗仿宋" w:hAnsi="宋体" w:eastAsia="彩虹粗仿宋" w:cs="Arial"/>
          <w:color w:val="000000"/>
          <w:kern w:val="0"/>
          <w:sz w:val="32"/>
          <w:szCs w:val="32"/>
          <w:highlight w:val="none"/>
        </w:rPr>
        <w:t>月</w:t>
      </w:r>
      <w:r>
        <w:rPr>
          <w:rFonts w:hint="eastAsia" w:ascii="彩虹粗仿宋" w:hAnsi="宋体" w:eastAsia="彩虹粗仿宋" w:cs="Arial"/>
          <w:color w:val="000000"/>
          <w:kern w:val="0"/>
          <w:sz w:val="32"/>
          <w:szCs w:val="32"/>
          <w:highlight w:val="none"/>
          <w:lang w:val="en-US" w:eastAsia="zh-CN"/>
        </w:rPr>
        <w:t>25</w:t>
      </w:r>
      <w:r>
        <w:rPr>
          <w:rFonts w:hint="eastAsia" w:ascii="彩虹粗仿宋" w:hAnsi="宋体" w:eastAsia="彩虹粗仿宋" w:cs="Arial"/>
          <w:color w:val="000000"/>
          <w:kern w:val="0"/>
          <w:sz w:val="32"/>
          <w:szCs w:val="32"/>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E67"/>
    <w:rsid w:val="003C7E1B"/>
    <w:rsid w:val="003E032F"/>
    <w:rsid w:val="003E265A"/>
    <w:rsid w:val="003E5EA0"/>
    <w:rsid w:val="003E770A"/>
    <w:rsid w:val="00402C73"/>
    <w:rsid w:val="00402DBF"/>
    <w:rsid w:val="0041262D"/>
    <w:rsid w:val="00414A09"/>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55F1"/>
    <w:rsid w:val="004B0EDA"/>
    <w:rsid w:val="004B23A2"/>
    <w:rsid w:val="004C0654"/>
    <w:rsid w:val="004C4EBB"/>
    <w:rsid w:val="004C7AA8"/>
    <w:rsid w:val="004D0585"/>
    <w:rsid w:val="004D1932"/>
    <w:rsid w:val="004D1E6B"/>
    <w:rsid w:val="004D23DD"/>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806A9"/>
    <w:rsid w:val="00680B27"/>
    <w:rsid w:val="00681546"/>
    <w:rsid w:val="006833E1"/>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648C"/>
    <w:rsid w:val="00782618"/>
    <w:rsid w:val="00783D55"/>
    <w:rsid w:val="00786229"/>
    <w:rsid w:val="007903E4"/>
    <w:rsid w:val="007906E0"/>
    <w:rsid w:val="00790A0C"/>
    <w:rsid w:val="00791545"/>
    <w:rsid w:val="007A0E70"/>
    <w:rsid w:val="007A255B"/>
    <w:rsid w:val="007A6406"/>
    <w:rsid w:val="007B24EC"/>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42D0"/>
    <w:rsid w:val="00B96A9B"/>
    <w:rsid w:val="00BA71E3"/>
    <w:rsid w:val="00BC4F5F"/>
    <w:rsid w:val="00BC6974"/>
    <w:rsid w:val="00BD4255"/>
    <w:rsid w:val="00BD51BE"/>
    <w:rsid w:val="00BE331A"/>
    <w:rsid w:val="00BE411E"/>
    <w:rsid w:val="00BF374E"/>
    <w:rsid w:val="00C10A9B"/>
    <w:rsid w:val="00C1659B"/>
    <w:rsid w:val="00C30BD6"/>
    <w:rsid w:val="00C33581"/>
    <w:rsid w:val="00C41EE3"/>
    <w:rsid w:val="00C45CB8"/>
    <w:rsid w:val="00C52163"/>
    <w:rsid w:val="00C52A12"/>
    <w:rsid w:val="00C53FB3"/>
    <w:rsid w:val="00C5492D"/>
    <w:rsid w:val="00C549AB"/>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D15D1"/>
    <w:rsid w:val="00CD38DC"/>
    <w:rsid w:val="00CD3933"/>
    <w:rsid w:val="00CE25EF"/>
    <w:rsid w:val="00CE5ED7"/>
    <w:rsid w:val="00CE608F"/>
    <w:rsid w:val="00CE662B"/>
    <w:rsid w:val="00CF1C05"/>
    <w:rsid w:val="00CF25DB"/>
    <w:rsid w:val="00CF381C"/>
    <w:rsid w:val="00CF4573"/>
    <w:rsid w:val="00D00C6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812BE"/>
    <w:rsid w:val="00E8136E"/>
    <w:rsid w:val="00E82797"/>
    <w:rsid w:val="00E91313"/>
    <w:rsid w:val="00E93C3B"/>
    <w:rsid w:val="00E93D92"/>
    <w:rsid w:val="00E95B38"/>
    <w:rsid w:val="00EA0311"/>
    <w:rsid w:val="00EA2537"/>
    <w:rsid w:val="00EA2C25"/>
    <w:rsid w:val="00EB035E"/>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0C437290"/>
    <w:rsid w:val="13232178"/>
    <w:rsid w:val="16BE0FDE"/>
    <w:rsid w:val="1A772B99"/>
    <w:rsid w:val="1D1A3E83"/>
    <w:rsid w:val="1E27372D"/>
    <w:rsid w:val="1E7F07B9"/>
    <w:rsid w:val="4D826B1D"/>
    <w:rsid w:val="61F22979"/>
    <w:rsid w:val="6B285BDD"/>
    <w:rsid w:val="6D2D34E9"/>
    <w:rsid w:val="7B4F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2 字符"/>
    <w:basedOn w:val="11"/>
    <w:link w:val="2"/>
    <w:qFormat/>
    <w:uiPriority w:val="9"/>
    <w:rPr>
      <w:rFonts w:ascii="宋体" w:hAnsi="宋体" w:eastAsia="宋体" w:cs="宋体"/>
      <w:b/>
      <w:bCs/>
      <w:kern w:val="0"/>
      <w:sz w:val="36"/>
      <w:szCs w:val="36"/>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E89F-69CD-44EB-98D7-D3521845216A}">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300</Characters>
  <Lines>3</Lines>
  <Paragraphs>1</Paragraphs>
  <TotalTime>0</TotalTime>
  <ScaleCrop>false</ScaleCrop>
  <LinksUpToDate>false</LinksUpToDate>
  <CharactersWithSpaces>300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2022-12-20T01:39:00Z</dcterms:created>
  <dc:creator>张佩</dc:creator>
  <cp:lastModifiedBy>jxlc</cp:lastModifiedBy>
  <cp:lastPrinted>2022-09-19T02:47:00Z</cp:lastPrinted>
  <dcterms:modified xsi:type="dcterms:W3CDTF">2024-11-22T06:45:04Z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D5E73C9A182B4C26940326725F1B9448_13</vt:lpwstr>
  </property>
</Properties>
</file>