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彩虹小标宋" w:eastAsia="彩虹小标宋"/>
          <w:sz w:val="36"/>
          <w:szCs w:val="36"/>
          <w:lang w:val="en-US" w:eastAsia="zh-CN"/>
        </w:rPr>
      </w:pPr>
      <w:r>
        <w:rPr>
          <w:rFonts w:hint="eastAsia" w:ascii="彩虹小标宋" w:eastAsia="彩虹小标宋"/>
          <w:sz w:val="36"/>
          <w:szCs w:val="36"/>
        </w:rPr>
        <w:t>关于</w:t>
      </w:r>
      <w:r>
        <w:rPr>
          <w:rFonts w:hint="eastAsia" w:ascii="彩虹小标宋" w:eastAsia="彩虹小标宋"/>
          <w:sz w:val="36"/>
          <w:szCs w:val="36"/>
          <w:lang w:val="en-US" w:eastAsia="zh-CN"/>
        </w:rPr>
        <w:t>取消</w:t>
      </w:r>
      <w:r>
        <w:rPr>
          <w:rFonts w:hint="eastAsia" w:ascii="彩虹小标宋" w:eastAsia="彩虹小标宋"/>
          <w:sz w:val="36"/>
          <w:szCs w:val="36"/>
        </w:rPr>
        <w:t>建信理财“天天利”按日开放式理财产品</w:t>
      </w:r>
      <w:r>
        <w:rPr>
          <w:rFonts w:hint="eastAsia" w:ascii="彩虹小标宋" w:eastAsia="彩虹小标宋"/>
          <w:sz w:val="36"/>
          <w:szCs w:val="36"/>
          <w:lang w:val="en-US" w:eastAsia="zh-CN"/>
        </w:rPr>
        <w:t>交易</w:t>
      </w:r>
      <w:r>
        <w:rPr>
          <w:rFonts w:hint="eastAsia" w:ascii="彩虹小标宋" w:eastAsia="彩虹小标宋"/>
          <w:sz w:val="36"/>
          <w:szCs w:val="36"/>
        </w:rPr>
        <w:t>限制的公告</w:t>
      </w:r>
      <w:r>
        <w:rPr>
          <w:rFonts w:hint="eastAsia" w:ascii="彩虹小标宋" w:eastAsia="彩虹小标宋"/>
          <w:sz w:val="36"/>
          <w:szCs w:val="36"/>
          <w:lang w:val="en-US" w:eastAsia="zh-CN"/>
        </w:rPr>
        <w:t>-JXTTL012021020901</w:t>
      </w:r>
    </w:p>
    <w:p>
      <w:pPr>
        <w:spacing w:line="560" w:lineRule="exact"/>
        <w:rPr>
          <w:rFonts w:ascii="彩虹粗仿宋" w:eastAsia="彩虹粗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彩虹粗仿宋" w:eastAsia="彩虹粗仿宋"/>
          <w:sz w:val="32"/>
          <w:szCs w:val="32"/>
        </w:rPr>
      </w:pPr>
      <w:r>
        <w:rPr>
          <w:rFonts w:hint="eastAsia" w:ascii="彩虹粗仿宋" w:eastAsia="彩虹粗仿宋"/>
          <w:sz w:val="32"/>
          <w:szCs w:val="32"/>
        </w:rPr>
        <w:t>尊敬的投资者：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eastAsia="彩虹粗仿宋"/>
          <w:sz w:val="32"/>
          <w:szCs w:val="32"/>
          <w:lang w:val="en-US" w:eastAsia="zh-CN"/>
        </w:rPr>
      </w:pPr>
      <w:r>
        <w:rPr>
          <w:rFonts w:hint="eastAsia" w:ascii="彩虹粗仿宋" w:eastAsia="彩虹粗仿宋"/>
          <w:sz w:val="32"/>
          <w:szCs w:val="32"/>
        </w:rPr>
        <w:t>为更好地提供理财服务，</w:t>
      </w:r>
      <w:r>
        <w:rPr>
          <w:rFonts w:hint="eastAsia" w:ascii="彩虹粗仿宋" w:eastAsia="彩虹粗仿宋"/>
          <w:sz w:val="32"/>
          <w:szCs w:val="32"/>
          <w:lang w:eastAsia="zh-CN"/>
        </w:rPr>
        <w:t>建信理财“天天利”按日开放式理财产品（</w:t>
      </w:r>
      <w:r>
        <w:rPr>
          <w:rFonts w:hint="eastAsia" w:ascii="彩虹粗仿宋" w:eastAsia="彩虹粗仿宋"/>
          <w:sz w:val="32"/>
          <w:szCs w:val="32"/>
        </w:rPr>
        <w:t>全国银行业理财信息登记系统编码：Z7000721000190</w:t>
      </w:r>
      <w:r>
        <w:rPr>
          <w:rFonts w:hint="eastAsia" w:ascii="彩虹粗仿宋" w:eastAsia="彩虹粗仿宋"/>
          <w:sz w:val="32"/>
          <w:szCs w:val="32"/>
          <w:lang w:eastAsia="zh-CN"/>
        </w:rPr>
        <w:t>）</w:t>
      </w:r>
      <w:r>
        <w:rPr>
          <w:rFonts w:hint="eastAsia" w:ascii="彩虹粗仿宋" w:eastAsia="彩虹粗仿宋"/>
          <w:sz w:val="32"/>
          <w:szCs w:val="32"/>
        </w:rPr>
        <w:t>将于2025年4月16日</w:t>
      </w:r>
      <w:r>
        <w:rPr>
          <w:rFonts w:hint="eastAsia" w:ascii="彩虹粗仿宋" w:eastAsia="彩虹粗仿宋"/>
          <w:sz w:val="32"/>
          <w:szCs w:val="32"/>
          <w:lang w:val="en-US" w:eastAsia="zh-CN"/>
        </w:rPr>
        <w:t>取消</w:t>
      </w:r>
      <w:r>
        <w:rPr>
          <w:rFonts w:hint="eastAsia" w:ascii="彩虹粗仿宋" w:eastAsia="彩虹粗仿宋"/>
          <w:sz w:val="32"/>
          <w:szCs w:val="32"/>
        </w:rPr>
        <w:t>单个投资者持有份额限额</w:t>
      </w:r>
      <w:r>
        <w:rPr>
          <w:rFonts w:hint="eastAsia" w:ascii="彩虹粗仿宋" w:eastAsia="彩虹粗仿宋"/>
          <w:sz w:val="32"/>
          <w:szCs w:val="32"/>
          <w:lang w:eastAsia="zh-CN"/>
        </w:rPr>
        <w:t>、同一个产品工作日内单个投资者累计赎回份额</w:t>
      </w:r>
      <w:r>
        <w:rPr>
          <w:rFonts w:hint="eastAsia" w:ascii="彩虹粗仿宋" w:eastAsia="彩虹粗仿宋"/>
          <w:sz w:val="32"/>
          <w:szCs w:val="32"/>
        </w:rPr>
        <w:t>，2</w:t>
      </w:r>
      <w:r>
        <w:rPr>
          <w:rFonts w:ascii="彩虹粗仿宋" w:eastAsia="彩虹粗仿宋"/>
          <w:sz w:val="32"/>
          <w:szCs w:val="32"/>
        </w:rPr>
        <w:t>02</w:t>
      </w:r>
      <w:r>
        <w:rPr>
          <w:rFonts w:hint="eastAsia" w:ascii="彩虹粗仿宋" w:eastAsia="彩虹粗仿宋"/>
          <w:sz w:val="32"/>
          <w:szCs w:val="32"/>
          <w:lang w:val="en-US" w:eastAsia="zh-CN"/>
        </w:rPr>
        <w:t>5</w:t>
      </w:r>
      <w:r>
        <w:rPr>
          <w:rFonts w:hint="eastAsia" w:ascii="彩虹粗仿宋" w:eastAsia="彩虹粗仿宋"/>
          <w:sz w:val="32"/>
          <w:szCs w:val="32"/>
        </w:rPr>
        <w:t>年</w:t>
      </w:r>
      <w:r>
        <w:rPr>
          <w:rFonts w:hint="eastAsia" w:ascii="彩虹粗仿宋" w:eastAsia="彩虹粗仿宋"/>
          <w:sz w:val="32"/>
          <w:szCs w:val="32"/>
          <w:lang w:val="en-US" w:eastAsia="zh-CN"/>
        </w:rPr>
        <w:t>4</w:t>
      </w:r>
      <w:r>
        <w:rPr>
          <w:rFonts w:hint="eastAsia" w:ascii="彩虹粗仿宋" w:eastAsia="彩虹粗仿宋"/>
          <w:sz w:val="32"/>
          <w:szCs w:val="32"/>
        </w:rPr>
        <w:t>月</w:t>
      </w:r>
      <w:r>
        <w:rPr>
          <w:rFonts w:hint="eastAsia" w:ascii="彩虹粗仿宋" w:eastAsia="彩虹粗仿宋"/>
          <w:sz w:val="32"/>
          <w:szCs w:val="32"/>
          <w:lang w:val="en-US" w:eastAsia="zh-CN"/>
        </w:rPr>
        <w:t>17</w:t>
      </w:r>
      <w:r>
        <w:rPr>
          <w:rFonts w:hint="eastAsia" w:ascii="彩虹粗仿宋" w:eastAsia="彩虹粗仿宋"/>
          <w:sz w:val="32"/>
          <w:szCs w:val="32"/>
        </w:rPr>
        <w:t>日起恢复</w:t>
      </w:r>
      <w:r>
        <w:rPr>
          <w:rFonts w:hint="eastAsia" w:ascii="彩虹粗仿宋" w:eastAsia="彩虹粗仿宋"/>
          <w:sz w:val="32"/>
          <w:szCs w:val="32"/>
          <w:lang w:val="en-US" w:eastAsia="zh-CN"/>
        </w:rPr>
        <w:t>原限额</w:t>
      </w:r>
      <w:r>
        <w:rPr>
          <w:rFonts w:hint="eastAsia" w:ascii="彩虹粗仿宋" w:eastAsia="彩虹粗仿宋"/>
          <w:sz w:val="32"/>
          <w:szCs w:val="32"/>
        </w:rPr>
        <w:t>。</w:t>
      </w:r>
    </w:p>
    <w:tbl>
      <w:tblPr>
        <w:tblStyle w:val="8"/>
        <w:tblpPr w:leftFromText="180" w:rightFromText="180" w:vertAnchor="text" w:horzAnchor="page" w:tblpXSpec="center" w:tblpY="479"/>
        <w:tblOverlap w:val="never"/>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5"/>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5" w:type="dxa"/>
            <w:vAlign w:val="center"/>
          </w:tcPr>
          <w:p>
            <w:pPr>
              <w:spacing w:line="240" w:lineRule="auto"/>
              <w:jc w:val="center"/>
              <w:rPr>
                <w:rFonts w:hint="default" w:ascii="彩虹粗仿宋" w:eastAsia="彩虹粗仿宋"/>
                <w:b/>
                <w:bCs/>
                <w:sz w:val="21"/>
                <w:szCs w:val="21"/>
                <w:vertAlign w:val="baseline"/>
                <w:lang w:val="en-US" w:eastAsia="zh-CN"/>
              </w:rPr>
            </w:pPr>
            <w:r>
              <w:rPr>
                <w:rFonts w:hint="eastAsia" w:ascii="彩虹粗仿宋" w:eastAsia="彩虹粗仿宋"/>
                <w:b/>
                <w:bCs/>
                <w:sz w:val="21"/>
                <w:szCs w:val="21"/>
                <w:vertAlign w:val="baseline"/>
                <w:lang w:val="en-US" w:eastAsia="zh-CN"/>
              </w:rPr>
              <w:t>调整前</w:t>
            </w:r>
          </w:p>
        </w:tc>
        <w:tc>
          <w:tcPr>
            <w:tcW w:w="2880" w:type="dxa"/>
            <w:vAlign w:val="center"/>
          </w:tcPr>
          <w:p>
            <w:pPr>
              <w:spacing w:line="240" w:lineRule="auto"/>
              <w:jc w:val="center"/>
              <w:rPr>
                <w:rFonts w:hint="default" w:ascii="彩虹粗仿宋" w:eastAsia="彩虹粗仿宋"/>
                <w:b/>
                <w:bCs/>
                <w:sz w:val="21"/>
                <w:szCs w:val="21"/>
                <w:vertAlign w:val="baseline"/>
                <w:lang w:val="en-US" w:eastAsia="zh-CN"/>
              </w:rPr>
            </w:pPr>
            <w:r>
              <w:rPr>
                <w:rFonts w:hint="eastAsia" w:ascii="彩虹粗仿宋" w:eastAsia="彩虹粗仿宋"/>
                <w:b/>
                <w:bCs/>
                <w:sz w:val="21"/>
                <w:szCs w:val="21"/>
                <w:vertAlign w:val="baseline"/>
                <w:lang w:val="en-US" w:eastAsia="zh-CN"/>
              </w:rPr>
              <w:t>调整后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5" w:type="dxa"/>
            <w:vAlign w:val="center"/>
          </w:tcPr>
          <w:p>
            <w:pPr>
              <w:spacing w:line="240" w:lineRule="auto"/>
              <w:jc w:val="center"/>
              <w:rPr>
                <w:rFonts w:hint="eastAsia" w:ascii="彩虹粗仿宋" w:eastAsia="彩虹粗仿宋"/>
                <w:sz w:val="21"/>
                <w:szCs w:val="21"/>
                <w:vertAlign w:val="baseline"/>
                <w:lang w:val="en-US" w:eastAsia="zh-CN"/>
              </w:rPr>
            </w:pPr>
            <w:r>
              <w:rPr>
                <w:rFonts w:hint="eastAsia" w:ascii="彩虹粗仿宋" w:eastAsia="彩虹粗仿宋"/>
                <w:sz w:val="21"/>
                <w:szCs w:val="21"/>
                <w:vertAlign w:val="baseline"/>
                <w:lang w:val="en-US" w:eastAsia="zh-CN"/>
              </w:rPr>
              <w:t>产品存续期间，单客户持有份额不超过3亿份</w:t>
            </w:r>
          </w:p>
        </w:tc>
        <w:tc>
          <w:tcPr>
            <w:tcW w:w="2880" w:type="dxa"/>
            <w:vMerge w:val="restart"/>
            <w:vAlign w:val="center"/>
          </w:tcPr>
          <w:p>
            <w:pPr>
              <w:spacing w:line="240" w:lineRule="auto"/>
              <w:jc w:val="center"/>
              <w:rPr>
                <w:rFonts w:hint="default" w:ascii="彩虹粗仿宋" w:eastAsia="彩虹粗仿宋"/>
                <w:sz w:val="21"/>
                <w:szCs w:val="21"/>
                <w:vertAlign w:val="baseline"/>
                <w:lang w:val="en-US" w:eastAsia="zh-CN"/>
              </w:rPr>
            </w:pPr>
            <w:r>
              <w:rPr>
                <w:rFonts w:hint="eastAsia" w:ascii="彩虹粗仿宋" w:eastAsia="彩虹粗仿宋"/>
                <w:sz w:val="21"/>
                <w:szCs w:val="21"/>
                <w:vertAlign w:val="baseline"/>
                <w:lang w:val="en-US" w:eastAsia="zh-CN"/>
              </w:rPr>
              <w:t>不设置单客持有上限及赎回上限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5" w:type="dxa"/>
            <w:vAlign w:val="center"/>
          </w:tcPr>
          <w:p>
            <w:pPr>
              <w:spacing w:line="240" w:lineRule="auto"/>
              <w:jc w:val="center"/>
              <w:rPr>
                <w:rFonts w:hint="eastAsia" w:ascii="彩虹粗仿宋" w:eastAsia="彩虹粗仿宋"/>
                <w:sz w:val="21"/>
                <w:szCs w:val="21"/>
                <w:vertAlign w:val="baseline"/>
                <w:lang w:val="en-US" w:eastAsia="zh-CN"/>
              </w:rPr>
            </w:pPr>
            <w:r>
              <w:rPr>
                <w:rFonts w:hint="eastAsia" w:ascii="彩虹粗仿宋" w:eastAsia="彩虹粗仿宋"/>
                <w:sz w:val="21"/>
                <w:szCs w:val="21"/>
                <w:vertAlign w:val="baseline"/>
                <w:lang w:val="en-US" w:eastAsia="zh-CN"/>
              </w:rPr>
              <w:t>同一个产品工作日内，单个投资者累计赎回份额不超过1亿份</w:t>
            </w:r>
          </w:p>
        </w:tc>
        <w:tc>
          <w:tcPr>
            <w:tcW w:w="2880" w:type="dxa"/>
            <w:vMerge w:val="continue"/>
            <w:vAlign w:val="center"/>
          </w:tcPr>
          <w:p>
            <w:pPr>
              <w:spacing w:line="240" w:lineRule="auto"/>
              <w:jc w:val="center"/>
              <w:rPr>
                <w:rFonts w:hint="eastAsia" w:ascii="彩虹粗仿宋" w:eastAsia="彩虹粗仿宋"/>
                <w:sz w:val="21"/>
                <w:szCs w:val="21"/>
                <w:vertAlign w:val="baseline"/>
                <w:lang w:val="en-US" w:eastAsia="zh-CN"/>
              </w:rPr>
            </w:pPr>
          </w:p>
        </w:tc>
      </w:tr>
    </w:tbl>
    <w:p>
      <w:pPr>
        <w:spacing w:line="560" w:lineRule="exact"/>
        <w:ind w:firstLine="640" w:firstLineChars="200"/>
        <w:rPr>
          <w:rFonts w:hint="eastAsia" w:ascii="彩虹粗仿宋" w:eastAsia="彩虹粗仿宋"/>
          <w:sz w:val="32"/>
          <w:szCs w:val="32"/>
        </w:rPr>
      </w:pPr>
      <w:bookmarkStart w:id="0" w:name="_GoBack"/>
      <w:bookmarkEnd w:id="0"/>
      <w:r>
        <w:rPr>
          <w:rFonts w:hint="eastAsia" w:ascii="彩虹粗仿宋" w:eastAsia="彩虹粗仿宋"/>
          <w:sz w:val="32"/>
          <w:szCs w:val="32"/>
        </w:rPr>
        <w:t>建信理财有限责任公司将本着勤勉尽职的原则持续为您提供专业化理财服务。</w:t>
      </w:r>
    </w:p>
    <w:p>
      <w:pPr>
        <w:spacing w:line="560" w:lineRule="exact"/>
        <w:ind w:firstLine="640" w:firstLineChars="200"/>
        <w:rPr>
          <w:rFonts w:hint="eastAsia" w:ascii="彩虹粗仿宋" w:eastAsia="彩虹粗仿宋"/>
          <w:sz w:val="32"/>
          <w:szCs w:val="32"/>
        </w:rPr>
      </w:pPr>
      <w:r>
        <w:rPr>
          <w:rFonts w:hint="eastAsia" w:ascii="彩虹粗仿宋" w:eastAsia="彩虹粗仿宋"/>
          <w:sz w:val="32"/>
          <w:szCs w:val="32"/>
        </w:rPr>
        <w:t>特此公告。</w:t>
      </w:r>
    </w:p>
    <w:p>
      <w:pPr>
        <w:spacing w:line="560" w:lineRule="exact"/>
        <w:ind w:firstLine="640" w:firstLineChars="200"/>
        <w:rPr>
          <w:rFonts w:ascii="彩虹粗仿宋" w:eastAsia="彩虹粗仿宋"/>
          <w:sz w:val="32"/>
          <w:szCs w:val="32"/>
        </w:rPr>
      </w:pPr>
    </w:p>
    <w:p>
      <w:pPr>
        <w:spacing w:line="560" w:lineRule="exact"/>
        <w:ind w:firstLine="640" w:firstLineChars="200"/>
        <w:rPr>
          <w:rFonts w:ascii="彩虹粗仿宋" w:eastAsia="彩虹粗仿宋"/>
          <w:sz w:val="32"/>
          <w:szCs w:val="32"/>
        </w:rPr>
      </w:pPr>
    </w:p>
    <w:p>
      <w:pPr>
        <w:spacing w:line="560" w:lineRule="exact"/>
        <w:ind w:firstLine="640" w:firstLineChars="200"/>
        <w:rPr>
          <w:rFonts w:ascii="彩虹粗仿宋" w:eastAsia="彩虹粗仿宋"/>
          <w:sz w:val="32"/>
          <w:szCs w:val="32"/>
        </w:rPr>
      </w:pPr>
      <w:r>
        <w:rPr>
          <w:rFonts w:hint="eastAsia" w:ascii="彩虹粗仿宋" w:eastAsia="彩虹粗仿宋"/>
          <w:sz w:val="32"/>
          <w:szCs w:val="32"/>
        </w:rPr>
        <w:t xml:space="preserve">  </w:t>
      </w:r>
      <w:r>
        <w:rPr>
          <w:rFonts w:ascii="彩虹粗仿宋" w:eastAsia="彩虹粗仿宋"/>
          <w:sz w:val="32"/>
          <w:szCs w:val="32"/>
        </w:rPr>
        <w:t xml:space="preserve">                        </w:t>
      </w:r>
      <w:r>
        <w:rPr>
          <w:rFonts w:hint="eastAsia" w:ascii="彩虹粗仿宋" w:eastAsia="彩虹粗仿宋"/>
          <w:sz w:val="32"/>
          <w:szCs w:val="32"/>
        </w:rPr>
        <w:t xml:space="preserve"> 建信理财有限责任公司</w:t>
      </w:r>
    </w:p>
    <w:p>
      <w:pPr>
        <w:spacing w:line="560" w:lineRule="exact"/>
        <w:ind w:firstLine="5440" w:firstLineChars="1700"/>
        <w:rPr>
          <w:rFonts w:ascii="彩虹粗仿宋" w:eastAsia="彩虹粗仿宋"/>
          <w:sz w:val="32"/>
          <w:szCs w:val="32"/>
        </w:rPr>
      </w:pPr>
      <w:r>
        <w:rPr>
          <w:rFonts w:hint="eastAsia" w:ascii="彩虹粗仿宋" w:eastAsia="彩虹粗仿宋"/>
          <w:sz w:val="32"/>
          <w:szCs w:val="32"/>
        </w:rPr>
        <w:t>202</w:t>
      </w:r>
      <w:r>
        <w:rPr>
          <w:rFonts w:hint="eastAsia" w:ascii="彩虹粗仿宋" w:eastAsia="彩虹粗仿宋"/>
          <w:sz w:val="32"/>
          <w:szCs w:val="32"/>
          <w:lang w:val="en-US" w:eastAsia="zh-CN"/>
        </w:rPr>
        <w:t>5</w:t>
      </w:r>
      <w:r>
        <w:rPr>
          <w:rFonts w:hint="eastAsia" w:ascii="彩虹粗仿宋" w:eastAsia="彩虹粗仿宋"/>
          <w:sz w:val="32"/>
          <w:szCs w:val="32"/>
        </w:rPr>
        <w:t>年</w:t>
      </w:r>
      <w:r>
        <w:rPr>
          <w:rFonts w:hint="eastAsia" w:ascii="彩虹粗仿宋" w:eastAsia="彩虹粗仿宋"/>
          <w:sz w:val="32"/>
          <w:szCs w:val="32"/>
          <w:lang w:val="en-US" w:eastAsia="zh-CN"/>
        </w:rPr>
        <w:t>4</w:t>
      </w:r>
      <w:r>
        <w:rPr>
          <w:rFonts w:hint="eastAsia" w:ascii="彩虹粗仿宋" w:eastAsia="彩虹粗仿宋"/>
          <w:sz w:val="32"/>
          <w:szCs w:val="32"/>
        </w:rPr>
        <w:t>月</w:t>
      </w:r>
      <w:r>
        <w:rPr>
          <w:rFonts w:hint="eastAsia" w:ascii="彩虹粗仿宋" w:eastAsia="彩虹粗仿宋"/>
          <w:sz w:val="32"/>
          <w:szCs w:val="32"/>
          <w:lang w:val="en-US" w:eastAsia="zh-CN"/>
        </w:rPr>
        <w:t>14</w:t>
      </w:r>
      <w:r>
        <w:rPr>
          <w:rFonts w:hint="eastAsia" w:ascii="彩虹粗仿宋" w:eastAsia="彩虹粗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kZmQzYzU2MWU4OTg1ZjQ0MjVmZjgxZjk0YTljMmYifQ=="/>
  </w:docVars>
  <w:rsids>
    <w:rsidRoot w:val="001428A6"/>
    <w:rsid w:val="000241C8"/>
    <w:rsid w:val="0005242D"/>
    <w:rsid w:val="00066939"/>
    <w:rsid w:val="001428A6"/>
    <w:rsid w:val="00185B11"/>
    <w:rsid w:val="0019582C"/>
    <w:rsid w:val="001C381B"/>
    <w:rsid w:val="00205C8A"/>
    <w:rsid w:val="00206F79"/>
    <w:rsid w:val="00214562"/>
    <w:rsid w:val="002532EE"/>
    <w:rsid w:val="00272D68"/>
    <w:rsid w:val="002D3336"/>
    <w:rsid w:val="002E3ECE"/>
    <w:rsid w:val="002F2DAA"/>
    <w:rsid w:val="00326FE7"/>
    <w:rsid w:val="003357F0"/>
    <w:rsid w:val="003C5294"/>
    <w:rsid w:val="003D7CFA"/>
    <w:rsid w:val="004B40CC"/>
    <w:rsid w:val="004C0C5D"/>
    <w:rsid w:val="00505B5C"/>
    <w:rsid w:val="00586B28"/>
    <w:rsid w:val="005A0F9C"/>
    <w:rsid w:val="005F5AE8"/>
    <w:rsid w:val="005F6936"/>
    <w:rsid w:val="0064427A"/>
    <w:rsid w:val="006548A0"/>
    <w:rsid w:val="00654A55"/>
    <w:rsid w:val="0066655D"/>
    <w:rsid w:val="006674CF"/>
    <w:rsid w:val="0067161F"/>
    <w:rsid w:val="0068278D"/>
    <w:rsid w:val="006912E0"/>
    <w:rsid w:val="006A63AD"/>
    <w:rsid w:val="00760000"/>
    <w:rsid w:val="0076079D"/>
    <w:rsid w:val="00792813"/>
    <w:rsid w:val="007C0139"/>
    <w:rsid w:val="007C1916"/>
    <w:rsid w:val="007C33BC"/>
    <w:rsid w:val="007C3955"/>
    <w:rsid w:val="007F34E4"/>
    <w:rsid w:val="00811669"/>
    <w:rsid w:val="008852F8"/>
    <w:rsid w:val="008B2407"/>
    <w:rsid w:val="008C5E52"/>
    <w:rsid w:val="008F7202"/>
    <w:rsid w:val="00905D50"/>
    <w:rsid w:val="009101AB"/>
    <w:rsid w:val="009206C0"/>
    <w:rsid w:val="009704A5"/>
    <w:rsid w:val="009B037B"/>
    <w:rsid w:val="00A27E25"/>
    <w:rsid w:val="00A412B1"/>
    <w:rsid w:val="00A506CC"/>
    <w:rsid w:val="00A60679"/>
    <w:rsid w:val="00A84031"/>
    <w:rsid w:val="00B8546A"/>
    <w:rsid w:val="00BA47A7"/>
    <w:rsid w:val="00BD576B"/>
    <w:rsid w:val="00C034CF"/>
    <w:rsid w:val="00C21A9A"/>
    <w:rsid w:val="00C406D4"/>
    <w:rsid w:val="00C504AE"/>
    <w:rsid w:val="00CE5F95"/>
    <w:rsid w:val="00D15B3B"/>
    <w:rsid w:val="00D74827"/>
    <w:rsid w:val="00D806D9"/>
    <w:rsid w:val="00DB6005"/>
    <w:rsid w:val="00DD228E"/>
    <w:rsid w:val="00E33E2A"/>
    <w:rsid w:val="00E64DEE"/>
    <w:rsid w:val="00E846D8"/>
    <w:rsid w:val="00E9072F"/>
    <w:rsid w:val="00EA6AD7"/>
    <w:rsid w:val="00EC5809"/>
    <w:rsid w:val="00F31745"/>
    <w:rsid w:val="00F336DE"/>
    <w:rsid w:val="00F73D21"/>
    <w:rsid w:val="00FB504D"/>
    <w:rsid w:val="07C36B9E"/>
    <w:rsid w:val="19D8550B"/>
    <w:rsid w:val="1C7F0E92"/>
    <w:rsid w:val="1FAD1145"/>
    <w:rsid w:val="25A32D1B"/>
    <w:rsid w:val="26A76DA4"/>
    <w:rsid w:val="31B60A82"/>
    <w:rsid w:val="38650D81"/>
    <w:rsid w:val="3B1655CF"/>
    <w:rsid w:val="49E517E9"/>
    <w:rsid w:val="4E36620B"/>
    <w:rsid w:val="523A1214"/>
    <w:rsid w:val="5D7819E8"/>
    <w:rsid w:val="74DC387C"/>
    <w:rsid w:val="7E921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semiHidden/>
    <w:qFormat/>
    <w:uiPriority w:val="99"/>
    <w:rPr>
      <w:sz w:val="18"/>
      <w:szCs w:val="18"/>
    </w:rPr>
  </w:style>
  <w:style w:type="character" w:customStyle="1" w:styleId="14">
    <w:name w:val="批注文字 字符"/>
    <w:basedOn w:val="9"/>
    <w:link w:val="2"/>
    <w:semiHidden/>
    <w:qFormat/>
    <w:uiPriority w:val="99"/>
  </w:style>
  <w:style w:type="character" w:customStyle="1" w:styleId="15">
    <w:name w:val="批注主题 字符"/>
    <w:basedOn w:val="14"/>
    <w:link w:val="6"/>
    <w:semiHidden/>
    <w:qFormat/>
    <w:uiPriority w:val="99"/>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301</Words>
  <Characters>340</Characters>
  <Lines>1</Lines>
  <Paragraphs>1</Paragraphs>
  <TotalTime>0</TotalTime>
  <ScaleCrop>false</ScaleCrop>
  <LinksUpToDate>false</LinksUpToDate>
  <CharactersWithSpaces>367</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2023-04-27T10:01:00Z</dcterms:created>
  <dc:creator>产品管理部</dc:creator>
  <cp:lastModifiedBy>jxlc</cp:lastModifiedBy>
  <dcterms:modified xsi:type="dcterms:W3CDTF">2025-04-14T10:12:03Z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E8A1451285F84EE1A252C56A65EA4563_13</vt:lpwstr>
  </property>
</Properties>
</file>