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60" w:lineRule="atLeast"/>
        <w:jc w:val="center"/>
        <w:rPr>
          <w:rFonts w:hint="eastAsia" w:ascii="宋体" w:hAnsi="宋体" w:eastAsia="宋体" w:cs="Arial"/>
          <w:b/>
          <w:kern w:val="0"/>
          <w:szCs w:val="21"/>
          <w:lang w:val="en-US" w:eastAsia="zh-CN"/>
        </w:rPr>
      </w:pPr>
      <w:r>
        <w:rPr>
          <w:rFonts w:hint="eastAsia" w:ascii="宋体" w:hAnsi="宋体" w:eastAsia="宋体" w:cs="Arial"/>
          <w:b/>
          <w:kern w:val="0"/>
          <w:szCs w:val="21"/>
        </w:rPr>
        <w:t>关于</w:t>
      </w:r>
      <w:r>
        <w:rPr>
          <w:rFonts w:hint="eastAsia" w:ascii="宋体" w:hAnsi="宋体" w:eastAsia="宋体" w:cs="Arial"/>
          <w:b/>
          <w:kern w:val="0"/>
          <w:szCs w:val="21"/>
          <w:lang w:val="en-US" w:eastAsia="zh-CN"/>
        </w:rPr>
        <w:t>调整</w:t>
      </w:r>
      <w:r>
        <w:rPr>
          <w:rFonts w:hint="eastAsia" w:ascii="宋体" w:hAnsi="宋体" w:eastAsia="宋体" w:cs="Arial"/>
          <w:b/>
          <w:kern w:val="0"/>
          <w:szCs w:val="21"/>
        </w:rPr>
        <w:t>建信理财“恒赢”（法人版）按日开放式净值型人民币理财产品</w:t>
      </w:r>
      <w:r>
        <w:rPr>
          <w:rFonts w:hint="eastAsia" w:ascii="宋体" w:hAnsi="宋体" w:eastAsia="宋体" w:cs="Arial"/>
          <w:b/>
          <w:kern w:val="0"/>
          <w:szCs w:val="21"/>
          <w:lang w:val="en-US" w:eastAsia="zh-CN"/>
        </w:rPr>
        <w:t>交易</w:t>
      </w:r>
      <w:r>
        <w:rPr>
          <w:rFonts w:hint="eastAsia" w:ascii="宋体" w:hAnsi="宋体" w:eastAsia="宋体" w:cs="Arial"/>
          <w:b/>
          <w:kern w:val="0"/>
          <w:szCs w:val="21"/>
        </w:rPr>
        <w:t>限制的公告</w:t>
      </w:r>
      <w:r>
        <w:rPr>
          <w:rFonts w:hint="eastAsia" w:ascii="宋体" w:hAnsi="宋体" w:eastAsia="宋体" w:cs="Arial"/>
          <w:b/>
          <w:kern w:val="0"/>
          <w:szCs w:val="21"/>
          <w:lang w:val="en-US" w:eastAsia="zh-CN"/>
        </w:rPr>
        <w:t>-JX07QYHYFR2020002</w:t>
      </w:r>
    </w:p>
    <w:p>
      <w:pPr>
        <w:widowControl/>
        <w:spacing w:before="100" w:beforeAutospacing="1" w:after="100" w:afterAutospacing="1" w:line="460" w:lineRule="atLeast"/>
        <w:rPr>
          <w:rFonts w:ascii="微软雅黑" w:hAnsi="微软雅黑" w:eastAsia="微软雅黑"/>
        </w:rPr>
      </w:pPr>
      <w:r>
        <w:rPr>
          <w:rFonts w:hint="eastAsia"/>
        </w:rPr>
        <w:t>尊敬的客户：</w:t>
      </w:r>
    </w:p>
    <w:p>
      <w:pPr>
        <w:pStyle w:val="8"/>
        <w:snapToGrid w:val="0"/>
        <w:spacing w:line="460" w:lineRule="atLeast"/>
        <w:ind w:firstLine="420"/>
        <w:rPr>
          <w:rFonts w:cs="Arial"/>
          <w:sz w:val="21"/>
          <w:szCs w:val="21"/>
        </w:rPr>
      </w:pPr>
      <w:r>
        <w:rPr>
          <w:rFonts w:hint="eastAsia" w:cs="Arial"/>
          <w:sz w:val="21"/>
          <w:szCs w:val="21"/>
        </w:rPr>
        <w:t>为更好地为客户提供投资理财服务，建信理财有限责任公司将于</w:t>
      </w:r>
      <w:r>
        <w:rPr>
          <w:rFonts w:cs="Arial"/>
          <w:sz w:val="21"/>
          <w:szCs w:val="21"/>
        </w:rPr>
        <w:t>2025</w:t>
      </w:r>
      <w:r>
        <w:rPr>
          <w:rFonts w:hint="eastAsia" w:cs="Arial"/>
          <w:sz w:val="21"/>
          <w:szCs w:val="21"/>
        </w:rPr>
        <w:t>年</w:t>
      </w:r>
      <w:r>
        <w:rPr>
          <w:rFonts w:hint="eastAsia" w:cs="Arial"/>
          <w:sz w:val="21"/>
          <w:szCs w:val="21"/>
          <w:lang w:val="en-US" w:eastAsia="zh-CN"/>
        </w:rPr>
        <w:t>4</w:t>
      </w:r>
      <w:r>
        <w:rPr>
          <w:rFonts w:hint="eastAsia" w:cs="Arial"/>
          <w:sz w:val="21"/>
          <w:szCs w:val="21"/>
        </w:rPr>
        <w:t>月</w:t>
      </w:r>
      <w:r>
        <w:rPr>
          <w:rFonts w:hint="eastAsia" w:cs="Arial"/>
          <w:sz w:val="21"/>
          <w:szCs w:val="21"/>
          <w:lang w:val="en-US" w:eastAsia="zh-CN"/>
        </w:rPr>
        <w:t>22</w:t>
      </w:r>
      <w:r>
        <w:rPr>
          <w:rFonts w:hint="eastAsia" w:cs="Arial"/>
          <w:sz w:val="21"/>
          <w:szCs w:val="21"/>
        </w:rPr>
        <w:t>日起</w:t>
      </w:r>
      <w:r>
        <w:rPr>
          <w:rFonts w:hint="eastAsia" w:cs="Arial"/>
          <w:sz w:val="21"/>
          <w:szCs w:val="21"/>
          <w:lang w:val="en-US" w:eastAsia="zh-CN"/>
        </w:rPr>
        <w:t>调整</w:t>
      </w:r>
      <w:r>
        <w:rPr>
          <w:rFonts w:hint="eastAsia" w:cs="Arial"/>
          <w:sz w:val="21"/>
          <w:szCs w:val="21"/>
        </w:rPr>
        <w:t>建信理财“恒赢”（法人版）按日开放式净值型人民币理财产品</w:t>
      </w:r>
      <w:r>
        <w:rPr>
          <w:rFonts w:hint="eastAsia" w:cs="Arial"/>
          <w:sz w:val="21"/>
          <w:szCs w:val="21"/>
          <w:lang w:val="en-US" w:eastAsia="zh-CN"/>
        </w:rPr>
        <w:t>交易</w:t>
      </w:r>
      <w:r>
        <w:rPr>
          <w:rFonts w:hint="eastAsia" w:cs="Arial"/>
          <w:sz w:val="21"/>
          <w:szCs w:val="21"/>
        </w:rPr>
        <w:t>限制，并相应修改产品风险揭示书和产品说明书的相关内容，具体调整内容如下：</w:t>
      </w:r>
      <w:bookmarkStart w:id="0" w:name="_GoBack"/>
      <w:bookmarkEnd w:id="0"/>
    </w:p>
    <w:tbl>
      <w:tblPr>
        <w:tblStyle w:val="9"/>
        <w:tblW w:w="4874" w:type="pct"/>
        <w:jc w:val="center"/>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Layout w:type="autofit"/>
        <w:tblCellMar>
          <w:top w:w="15" w:type="dxa"/>
          <w:left w:w="15" w:type="dxa"/>
          <w:bottom w:w="15" w:type="dxa"/>
          <w:right w:w="15" w:type="dxa"/>
        </w:tblCellMar>
      </w:tblPr>
      <w:tblGrid>
        <w:gridCol w:w="2881"/>
        <w:gridCol w:w="3680"/>
        <w:gridCol w:w="4092"/>
        <w:gridCol w:w="2983"/>
      </w:tblGrid>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313" w:hRule="atLeast"/>
          <w:tblHeader/>
          <w:jc w:val="center"/>
        </w:trPr>
        <w:tc>
          <w:tcPr>
            <w:tcW w:w="1056" w:type="pct"/>
            <w:vAlign w:val="center"/>
          </w:tcPr>
          <w:p>
            <w:pPr>
              <w:pStyle w:val="8"/>
              <w:snapToGrid w:val="0"/>
              <w:jc w:val="center"/>
              <w:rPr>
                <w:rFonts w:ascii="Arial" w:hAnsi="Arial" w:cs="Arial"/>
                <w:sz w:val="21"/>
                <w:szCs w:val="21"/>
              </w:rPr>
            </w:pPr>
            <w:r>
              <w:rPr>
                <w:rStyle w:val="11"/>
                <w:rFonts w:hint="eastAsia" w:cs="Arial"/>
                <w:sz w:val="21"/>
                <w:szCs w:val="21"/>
              </w:rPr>
              <w:t>产品名称</w:t>
            </w:r>
          </w:p>
        </w:tc>
        <w:tc>
          <w:tcPr>
            <w:tcW w:w="1349" w:type="pct"/>
            <w:vAlign w:val="center"/>
          </w:tcPr>
          <w:p>
            <w:pPr>
              <w:pStyle w:val="8"/>
              <w:snapToGrid w:val="0"/>
              <w:spacing w:before="0" w:beforeAutospacing="0" w:after="0" w:afterAutospacing="0"/>
              <w:jc w:val="center"/>
              <w:rPr>
                <w:rFonts w:ascii="Arial" w:hAnsi="Arial" w:cs="Arial"/>
                <w:sz w:val="21"/>
                <w:szCs w:val="21"/>
              </w:rPr>
            </w:pPr>
            <w:r>
              <w:rPr>
                <w:rFonts w:hint="eastAsia" w:ascii="Arial" w:hAnsi="Arial" w:cs="Arial"/>
                <w:b/>
                <w:sz w:val="21"/>
                <w:szCs w:val="21"/>
              </w:rPr>
              <w:t>全国银行业理财信息登记系统编码</w:t>
            </w:r>
          </w:p>
        </w:tc>
        <w:tc>
          <w:tcPr>
            <w:tcW w:w="1500" w:type="pct"/>
            <w:vAlign w:val="center"/>
          </w:tcPr>
          <w:p>
            <w:pPr>
              <w:pStyle w:val="8"/>
              <w:snapToGrid w:val="0"/>
              <w:spacing w:before="0" w:beforeAutospacing="0" w:after="0" w:afterAutospacing="0"/>
              <w:jc w:val="center"/>
              <w:rPr>
                <w:rFonts w:ascii="Arial" w:hAnsi="Arial" w:cs="Arial"/>
                <w:b/>
                <w:sz w:val="21"/>
                <w:szCs w:val="21"/>
              </w:rPr>
            </w:pPr>
            <w:r>
              <w:rPr>
                <w:rFonts w:hint="eastAsia" w:ascii="Arial" w:hAnsi="Arial" w:cs="Arial"/>
                <w:b/>
                <w:sz w:val="21"/>
                <w:szCs w:val="21"/>
              </w:rPr>
              <w:t>调整前</w:t>
            </w:r>
          </w:p>
        </w:tc>
        <w:tc>
          <w:tcPr>
            <w:tcW w:w="1093" w:type="pct"/>
            <w:vAlign w:val="center"/>
          </w:tcPr>
          <w:p>
            <w:pPr>
              <w:pStyle w:val="8"/>
              <w:snapToGrid w:val="0"/>
              <w:spacing w:before="0" w:beforeAutospacing="0" w:after="0" w:afterAutospacing="0"/>
              <w:jc w:val="center"/>
              <w:rPr>
                <w:rFonts w:ascii="Arial" w:hAnsi="Arial" w:cs="Arial"/>
                <w:b/>
                <w:sz w:val="21"/>
                <w:szCs w:val="21"/>
              </w:rPr>
            </w:pPr>
            <w:r>
              <w:rPr>
                <w:rFonts w:hint="eastAsia" w:ascii="Arial" w:hAnsi="Arial" w:cs="Arial"/>
                <w:b/>
                <w:sz w:val="21"/>
                <w:szCs w:val="21"/>
              </w:rPr>
              <w:t>调整后</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904" w:hRule="atLeast"/>
          <w:jc w:val="center"/>
        </w:trPr>
        <w:tc>
          <w:tcPr>
            <w:tcW w:w="1056" w:type="pct"/>
            <w:vAlign w:val="center"/>
          </w:tcPr>
          <w:p>
            <w:pPr>
              <w:ind w:left="164" w:leftChars="78" w:right="189" w:rightChars="90"/>
              <w:jc w:val="center"/>
              <w:rPr>
                <w:rFonts w:ascii="宋体" w:hAnsi="宋体"/>
                <w:szCs w:val="21"/>
              </w:rPr>
            </w:pPr>
            <w:r>
              <w:rPr>
                <w:rFonts w:hint="eastAsia" w:ascii="宋体" w:hAnsi="宋体" w:eastAsia="宋体" w:cs="Arial"/>
                <w:kern w:val="0"/>
                <w:szCs w:val="21"/>
              </w:rPr>
              <w:t>建信理财“恒赢”（法人版）按日开放式净值型人民币理财产品</w:t>
            </w:r>
          </w:p>
        </w:tc>
        <w:tc>
          <w:tcPr>
            <w:tcW w:w="1349" w:type="pct"/>
            <w:vAlign w:val="center"/>
          </w:tcPr>
          <w:p>
            <w:pPr>
              <w:spacing w:line="256" w:lineRule="auto"/>
              <w:jc w:val="center"/>
              <w:rPr>
                <w:rFonts w:ascii="宋体" w:hAnsi="宋体"/>
                <w:szCs w:val="21"/>
              </w:rPr>
            </w:pPr>
            <w:r>
              <w:rPr>
                <w:rFonts w:ascii="宋体" w:hAnsi="宋体"/>
                <w:szCs w:val="21"/>
              </w:rPr>
              <w:t>Z7000721000436</w:t>
            </w:r>
          </w:p>
        </w:tc>
        <w:tc>
          <w:tcPr>
            <w:tcW w:w="1500" w:type="pct"/>
            <w:shd w:val="clear" w:color="auto" w:fill="auto"/>
            <w:vAlign w:val="center"/>
          </w:tcPr>
          <w:p>
            <w:pPr>
              <w:numPr>
                <w:ilvl w:val="0"/>
                <w:numId w:val="1"/>
              </w:numPr>
              <w:jc w:val="left"/>
              <w:rPr>
                <w:rFonts w:hint="eastAsia" w:ascii="宋体" w:hAnsi="宋体"/>
                <w:szCs w:val="21"/>
              </w:rPr>
            </w:pPr>
            <w:r>
              <w:rPr>
                <w:rFonts w:hint="eastAsia" w:ascii="宋体" w:hAnsi="宋体"/>
                <w:szCs w:val="21"/>
              </w:rPr>
              <w:t>在产品存续期间，单个投资者持有份额超过4亿份时，产品管理人有权根据理财产品运作情况对单个投资者最高持有份额进行限制。</w:t>
            </w:r>
          </w:p>
          <w:p>
            <w:pPr>
              <w:numPr>
                <w:ilvl w:val="0"/>
                <w:numId w:val="1"/>
              </w:numPr>
              <w:jc w:val="left"/>
              <w:rPr>
                <w:rFonts w:ascii="宋体" w:hAnsi="宋体"/>
                <w:szCs w:val="21"/>
              </w:rPr>
            </w:pPr>
            <w:r>
              <w:rPr>
                <w:rFonts w:hint="eastAsia" w:ascii="宋体" w:hAnsi="宋体"/>
                <w:szCs w:val="21"/>
              </w:rPr>
              <w:t>在同一个产品工作日内，单个投资者累计赎回份额不超过1亿份。</w:t>
            </w:r>
          </w:p>
        </w:tc>
        <w:tc>
          <w:tcPr>
            <w:tcW w:w="1093" w:type="pct"/>
            <w:tcMar>
              <w:top w:w="0" w:type="dxa"/>
              <w:left w:w="108" w:type="dxa"/>
              <w:bottom w:w="0" w:type="dxa"/>
              <w:right w:w="108" w:type="dxa"/>
            </w:tcMar>
            <w:vAlign w:val="center"/>
          </w:tcPr>
          <w:p>
            <w:pPr>
              <w:jc w:val="left"/>
              <w:rPr>
                <w:rFonts w:ascii="宋体" w:hAnsi="宋体"/>
                <w:szCs w:val="21"/>
              </w:rPr>
            </w:pPr>
            <w:r>
              <w:rPr>
                <w:rFonts w:hint="eastAsia" w:ascii="宋体" w:hAnsi="宋体"/>
                <w:szCs w:val="21"/>
              </w:rPr>
              <w:t>在产品存续期间，单个投资者持有份额超过</w:t>
            </w:r>
            <w:r>
              <w:rPr>
                <w:rFonts w:hint="eastAsia" w:ascii="宋体" w:hAnsi="宋体"/>
                <w:szCs w:val="21"/>
                <w:lang w:val="en-US" w:eastAsia="zh-CN"/>
              </w:rPr>
              <w:t>10</w:t>
            </w:r>
            <w:r>
              <w:rPr>
                <w:rFonts w:hint="eastAsia" w:ascii="宋体" w:hAnsi="宋体"/>
                <w:szCs w:val="21"/>
              </w:rPr>
              <w:t>亿份时，产品管理人有权根据理财产品运作情况对单个投资者最高持有份额进行限制。</w:t>
            </w:r>
          </w:p>
        </w:tc>
      </w:tr>
    </w:tbl>
    <w:p>
      <w:pPr>
        <w:pStyle w:val="8"/>
        <w:spacing w:line="276" w:lineRule="auto"/>
        <w:ind w:firstLine="420"/>
        <w:rPr>
          <w:rFonts w:cs="Arial"/>
          <w:sz w:val="21"/>
          <w:szCs w:val="21"/>
        </w:rPr>
      </w:pPr>
      <w:r>
        <w:rPr>
          <w:rFonts w:hint="eastAsia" w:cs="Arial"/>
          <w:sz w:val="21"/>
          <w:szCs w:val="21"/>
        </w:rPr>
        <w:t>本公告未提及事宜，按原产品说明书和风险揭示书的约定执行。</w:t>
      </w:r>
    </w:p>
    <w:p>
      <w:pPr>
        <w:pStyle w:val="8"/>
        <w:snapToGrid w:val="0"/>
        <w:spacing w:line="276" w:lineRule="auto"/>
        <w:ind w:firstLine="420"/>
        <w:rPr>
          <w:rFonts w:ascii="微软雅黑" w:hAnsi="微软雅黑" w:eastAsia="微软雅黑" w:cs="Arial"/>
          <w:sz w:val="21"/>
          <w:szCs w:val="21"/>
        </w:rPr>
      </w:pPr>
      <w:r>
        <w:rPr>
          <w:rFonts w:hint="eastAsia" w:cs="Arial"/>
          <w:sz w:val="21"/>
          <w:szCs w:val="21"/>
        </w:rPr>
        <w:t>特此公告。</w:t>
      </w:r>
    </w:p>
    <w:p>
      <w:pPr>
        <w:pStyle w:val="8"/>
        <w:snapToGrid w:val="0"/>
        <w:spacing w:line="460" w:lineRule="atLeast"/>
        <w:ind w:firstLine="420"/>
        <w:rPr>
          <w:rFonts w:ascii="微软雅黑" w:hAnsi="微软雅黑" w:eastAsia="微软雅黑" w:cs="Arial"/>
          <w:sz w:val="21"/>
          <w:szCs w:val="21"/>
        </w:rPr>
      </w:pPr>
      <w:r>
        <w:rPr>
          <w:rFonts w:hint="eastAsia" w:cs="Arial"/>
          <w:sz w:val="21"/>
          <w:szCs w:val="21"/>
        </w:rPr>
        <w:t> </w:t>
      </w:r>
    </w:p>
    <w:p>
      <w:pPr>
        <w:pStyle w:val="8"/>
        <w:snapToGrid w:val="0"/>
        <w:spacing w:before="0" w:beforeAutospacing="0" w:after="0" w:afterAutospacing="0" w:line="460" w:lineRule="atLeast"/>
        <w:ind w:firstLine="420"/>
        <w:jc w:val="right"/>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建信理财有限责任公司</w:t>
      </w:r>
    </w:p>
    <w:p>
      <w:pPr>
        <w:pStyle w:val="8"/>
        <w:snapToGrid w:val="0"/>
        <w:spacing w:before="0" w:beforeAutospacing="0" w:after="0" w:afterAutospacing="0" w:line="460" w:lineRule="atLeast"/>
        <w:ind w:firstLine="420"/>
        <w:jc w:val="right"/>
        <w:rPr>
          <w:rFonts w:cs="Arial" w:asciiTheme="minorEastAsia" w:hAnsiTheme="minorEastAsia" w:eastAsiaTheme="minorEastAsia"/>
          <w:sz w:val="21"/>
          <w:szCs w:val="21"/>
        </w:rPr>
      </w:pPr>
      <w:r>
        <w:rPr>
          <w:rFonts w:cs="Arial" w:asciiTheme="minorEastAsia" w:hAnsiTheme="minorEastAsia" w:eastAsiaTheme="minorEastAsia"/>
          <w:sz w:val="21"/>
          <w:szCs w:val="21"/>
        </w:rPr>
        <w:t>2025</w:t>
      </w:r>
      <w:r>
        <w:rPr>
          <w:rFonts w:hint="eastAsia" w:cs="Arial" w:asciiTheme="minorEastAsia" w:hAnsiTheme="minorEastAsia" w:eastAsiaTheme="minorEastAsia"/>
          <w:sz w:val="21"/>
          <w:szCs w:val="21"/>
        </w:rPr>
        <w:t>年</w:t>
      </w:r>
      <w:r>
        <w:rPr>
          <w:rFonts w:hint="eastAsia" w:cs="Arial" w:asciiTheme="minorEastAsia" w:hAnsiTheme="minorEastAsia" w:eastAsiaTheme="minorEastAsia"/>
          <w:sz w:val="21"/>
          <w:szCs w:val="21"/>
          <w:lang w:val="en-US" w:eastAsia="zh-CN"/>
        </w:rPr>
        <w:t>4</w:t>
      </w:r>
      <w:r>
        <w:rPr>
          <w:rFonts w:cs="Arial" w:asciiTheme="minorEastAsia" w:hAnsiTheme="minorEastAsia" w:eastAsiaTheme="minorEastAsia"/>
          <w:sz w:val="21"/>
          <w:szCs w:val="21"/>
        </w:rPr>
        <w:t>月</w:t>
      </w:r>
      <w:r>
        <w:rPr>
          <w:rFonts w:hint="eastAsia" w:cs="Arial" w:asciiTheme="minorEastAsia" w:hAnsiTheme="minorEastAsia" w:eastAsiaTheme="minorEastAsia"/>
          <w:sz w:val="21"/>
          <w:szCs w:val="21"/>
          <w:lang w:val="en-US" w:eastAsia="zh-CN"/>
        </w:rPr>
        <w:t>18</w:t>
      </w:r>
      <w:r>
        <w:rPr>
          <w:rFonts w:cs="Arial" w:asciiTheme="minorEastAsia" w:hAnsiTheme="minorEastAsia" w:eastAsiaTheme="minorEastAsia"/>
          <w:sz w:val="21"/>
          <w:szCs w:val="21"/>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17FC8B"/>
    <w:multiLevelType w:val="singleLevel"/>
    <w:tmpl w:val="7E17FC8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hMDY4Y2Q5N2EyNzMwNDU4NWQ4Mjg2NmQwODYyNTgifQ=="/>
  </w:docVars>
  <w:rsids>
    <w:rsidRoot w:val="00030C15"/>
    <w:rsid w:val="000017AA"/>
    <w:rsid w:val="00011470"/>
    <w:rsid w:val="00021337"/>
    <w:rsid w:val="00024DCA"/>
    <w:rsid w:val="00030C15"/>
    <w:rsid w:val="00031280"/>
    <w:rsid w:val="00034E1A"/>
    <w:rsid w:val="000465CE"/>
    <w:rsid w:val="000548AE"/>
    <w:rsid w:val="0006384B"/>
    <w:rsid w:val="00064A89"/>
    <w:rsid w:val="0007672A"/>
    <w:rsid w:val="00082DFA"/>
    <w:rsid w:val="00085650"/>
    <w:rsid w:val="000875A4"/>
    <w:rsid w:val="00095639"/>
    <w:rsid w:val="000A7973"/>
    <w:rsid w:val="000C07AA"/>
    <w:rsid w:val="000D102B"/>
    <w:rsid w:val="000E507C"/>
    <w:rsid w:val="000E588C"/>
    <w:rsid w:val="000F1758"/>
    <w:rsid w:val="000F19B0"/>
    <w:rsid w:val="000F65EB"/>
    <w:rsid w:val="0010116C"/>
    <w:rsid w:val="001011B9"/>
    <w:rsid w:val="0010323D"/>
    <w:rsid w:val="00106C38"/>
    <w:rsid w:val="001166FD"/>
    <w:rsid w:val="001178CD"/>
    <w:rsid w:val="001225E2"/>
    <w:rsid w:val="00130F59"/>
    <w:rsid w:val="00134FDF"/>
    <w:rsid w:val="00143D47"/>
    <w:rsid w:val="00144500"/>
    <w:rsid w:val="00146B12"/>
    <w:rsid w:val="00150D44"/>
    <w:rsid w:val="00152305"/>
    <w:rsid w:val="001524E3"/>
    <w:rsid w:val="00153E3F"/>
    <w:rsid w:val="0016107C"/>
    <w:rsid w:val="00161C0D"/>
    <w:rsid w:val="00165C8F"/>
    <w:rsid w:val="0016653A"/>
    <w:rsid w:val="00166A34"/>
    <w:rsid w:val="00180357"/>
    <w:rsid w:val="00181728"/>
    <w:rsid w:val="00197C7C"/>
    <w:rsid w:val="001A2DF0"/>
    <w:rsid w:val="001B444D"/>
    <w:rsid w:val="001C0BDD"/>
    <w:rsid w:val="001C1B09"/>
    <w:rsid w:val="001C2B63"/>
    <w:rsid w:val="001C4DC3"/>
    <w:rsid w:val="001C51CF"/>
    <w:rsid w:val="001D1213"/>
    <w:rsid w:val="001E2150"/>
    <w:rsid w:val="001E7B60"/>
    <w:rsid w:val="001F5C42"/>
    <w:rsid w:val="0020181D"/>
    <w:rsid w:val="00202B01"/>
    <w:rsid w:val="00202D2D"/>
    <w:rsid w:val="0020383E"/>
    <w:rsid w:val="0020744F"/>
    <w:rsid w:val="002077FC"/>
    <w:rsid w:val="00217931"/>
    <w:rsid w:val="00220ACD"/>
    <w:rsid w:val="00223C88"/>
    <w:rsid w:val="002254E5"/>
    <w:rsid w:val="00225988"/>
    <w:rsid w:val="00233843"/>
    <w:rsid w:val="002347BB"/>
    <w:rsid w:val="00234D09"/>
    <w:rsid w:val="00241404"/>
    <w:rsid w:val="00245C34"/>
    <w:rsid w:val="002469A5"/>
    <w:rsid w:val="00253338"/>
    <w:rsid w:val="00256426"/>
    <w:rsid w:val="00265FD3"/>
    <w:rsid w:val="00274831"/>
    <w:rsid w:val="002938CE"/>
    <w:rsid w:val="002A0398"/>
    <w:rsid w:val="002A0AE7"/>
    <w:rsid w:val="002A47D8"/>
    <w:rsid w:val="002C2F5A"/>
    <w:rsid w:val="002C4133"/>
    <w:rsid w:val="002C4F3F"/>
    <w:rsid w:val="002C6236"/>
    <w:rsid w:val="002C6C4E"/>
    <w:rsid w:val="002C7154"/>
    <w:rsid w:val="002D290D"/>
    <w:rsid w:val="002D4579"/>
    <w:rsid w:val="002D4D0C"/>
    <w:rsid w:val="002D4E01"/>
    <w:rsid w:val="002D548D"/>
    <w:rsid w:val="002D73ED"/>
    <w:rsid w:val="002D78D8"/>
    <w:rsid w:val="002D78F0"/>
    <w:rsid w:val="002D7AA6"/>
    <w:rsid w:val="002E057F"/>
    <w:rsid w:val="002E0A5E"/>
    <w:rsid w:val="002E1A6B"/>
    <w:rsid w:val="002E392C"/>
    <w:rsid w:val="002F0A0E"/>
    <w:rsid w:val="002F1AB5"/>
    <w:rsid w:val="002F3DE9"/>
    <w:rsid w:val="002F6756"/>
    <w:rsid w:val="002F6CA7"/>
    <w:rsid w:val="003031F7"/>
    <w:rsid w:val="003036D9"/>
    <w:rsid w:val="00304837"/>
    <w:rsid w:val="003115C3"/>
    <w:rsid w:val="003125D7"/>
    <w:rsid w:val="00313709"/>
    <w:rsid w:val="0031787C"/>
    <w:rsid w:val="003201EA"/>
    <w:rsid w:val="00321690"/>
    <w:rsid w:val="00331A6C"/>
    <w:rsid w:val="003463FB"/>
    <w:rsid w:val="0034665C"/>
    <w:rsid w:val="003472B5"/>
    <w:rsid w:val="00351478"/>
    <w:rsid w:val="00364077"/>
    <w:rsid w:val="00370B0C"/>
    <w:rsid w:val="00370B1F"/>
    <w:rsid w:val="0037127B"/>
    <w:rsid w:val="00374D6B"/>
    <w:rsid w:val="003772D2"/>
    <w:rsid w:val="003816BC"/>
    <w:rsid w:val="00383912"/>
    <w:rsid w:val="003841BA"/>
    <w:rsid w:val="00384482"/>
    <w:rsid w:val="00386FE9"/>
    <w:rsid w:val="00387F4B"/>
    <w:rsid w:val="00390F5A"/>
    <w:rsid w:val="00394964"/>
    <w:rsid w:val="003B4185"/>
    <w:rsid w:val="003B7657"/>
    <w:rsid w:val="003C0F2A"/>
    <w:rsid w:val="003C3FBF"/>
    <w:rsid w:val="003C4B56"/>
    <w:rsid w:val="003D0AFF"/>
    <w:rsid w:val="003D0B79"/>
    <w:rsid w:val="003D5F7B"/>
    <w:rsid w:val="003D7732"/>
    <w:rsid w:val="003E13CA"/>
    <w:rsid w:val="003E495A"/>
    <w:rsid w:val="003F32E8"/>
    <w:rsid w:val="00404CCA"/>
    <w:rsid w:val="00405F24"/>
    <w:rsid w:val="00410996"/>
    <w:rsid w:val="00413F20"/>
    <w:rsid w:val="00414D9A"/>
    <w:rsid w:val="00416EEB"/>
    <w:rsid w:val="00420D60"/>
    <w:rsid w:val="00430278"/>
    <w:rsid w:val="00430DB3"/>
    <w:rsid w:val="00434321"/>
    <w:rsid w:val="00436F12"/>
    <w:rsid w:val="0044584C"/>
    <w:rsid w:val="00447D09"/>
    <w:rsid w:val="00452E24"/>
    <w:rsid w:val="004539F0"/>
    <w:rsid w:val="00454C50"/>
    <w:rsid w:val="00455141"/>
    <w:rsid w:val="004577C4"/>
    <w:rsid w:val="00467AD2"/>
    <w:rsid w:val="00467BD3"/>
    <w:rsid w:val="004837B8"/>
    <w:rsid w:val="00492942"/>
    <w:rsid w:val="00495088"/>
    <w:rsid w:val="00495997"/>
    <w:rsid w:val="00497A90"/>
    <w:rsid w:val="004A6A25"/>
    <w:rsid w:val="004B0311"/>
    <w:rsid w:val="004B5709"/>
    <w:rsid w:val="004B66B8"/>
    <w:rsid w:val="004B7885"/>
    <w:rsid w:val="004C51FF"/>
    <w:rsid w:val="004D02D9"/>
    <w:rsid w:val="004D4952"/>
    <w:rsid w:val="004D63ED"/>
    <w:rsid w:val="004E3497"/>
    <w:rsid w:val="004E418D"/>
    <w:rsid w:val="004E56CA"/>
    <w:rsid w:val="004E5F3D"/>
    <w:rsid w:val="004F0844"/>
    <w:rsid w:val="004F7D6C"/>
    <w:rsid w:val="00505432"/>
    <w:rsid w:val="00507D22"/>
    <w:rsid w:val="0051423C"/>
    <w:rsid w:val="00516969"/>
    <w:rsid w:val="00520357"/>
    <w:rsid w:val="005255E1"/>
    <w:rsid w:val="0052571D"/>
    <w:rsid w:val="00533AB6"/>
    <w:rsid w:val="00541B07"/>
    <w:rsid w:val="005423A1"/>
    <w:rsid w:val="00545E50"/>
    <w:rsid w:val="00565FF0"/>
    <w:rsid w:val="0057050D"/>
    <w:rsid w:val="00571A14"/>
    <w:rsid w:val="00574A70"/>
    <w:rsid w:val="00583934"/>
    <w:rsid w:val="00585A92"/>
    <w:rsid w:val="0058602E"/>
    <w:rsid w:val="005870CA"/>
    <w:rsid w:val="0058789A"/>
    <w:rsid w:val="005B09AB"/>
    <w:rsid w:val="005B102E"/>
    <w:rsid w:val="005B1F17"/>
    <w:rsid w:val="005B1FD5"/>
    <w:rsid w:val="005B63CE"/>
    <w:rsid w:val="005C1603"/>
    <w:rsid w:val="005C3DEA"/>
    <w:rsid w:val="005D2B5C"/>
    <w:rsid w:val="005D3A00"/>
    <w:rsid w:val="005D7A82"/>
    <w:rsid w:val="005D7DAE"/>
    <w:rsid w:val="005E2E21"/>
    <w:rsid w:val="005E7236"/>
    <w:rsid w:val="005F02C3"/>
    <w:rsid w:val="005F1A4C"/>
    <w:rsid w:val="005F4D35"/>
    <w:rsid w:val="005F71CD"/>
    <w:rsid w:val="006045D1"/>
    <w:rsid w:val="006147FF"/>
    <w:rsid w:val="006215FB"/>
    <w:rsid w:val="00624198"/>
    <w:rsid w:val="006253E7"/>
    <w:rsid w:val="00635C95"/>
    <w:rsid w:val="00642617"/>
    <w:rsid w:val="006433A7"/>
    <w:rsid w:val="00644A75"/>
    <w:rsid w:val="0064644C"/>
    <w:rsid w:val="00646ADD"/>
    <w:rsid w:val="00652825"/>
    <w:rsid w:val="00655062"/>
    <w:rsid w:val="00655168"/>
    <w:rsid w:val="006558FC"/>
    <w:rsid w:val="00656BEF"/>
    <w:rsid w:val="00656C74"/>
    <w:rsid w:val="0066457E"/>
    <w:rsid w:val="006676B1"/>
    <w:rsid w:val="006704B1"/>
    <w:rsid w:val="006751BA"/>
    <w:rsid w:val="00675B0A"/>
    <w:rsid w:val="00677D9D"/>
    <w:rsid w:val="00677E54"/>
    <w:rsid w:val="0068203E"/>
    <w:rsid w:val="006859E8"/>
    <w:rsid w:val="00695479"/>
    <w:rsid w:val="006A264C"/>
    <w:rsid w:val="006A2EDB"/>
    <w:rsid w:val="006A3FAA"/>
    <w:rsid w:val="006B50C3"/>
    <w:rsid w:val="006B53AD"/>
    <w:rsid w:val="006C090A"/>
    <w:rsid w:val="006D120E"/>
    <w:rsid w:val="006D3355"/>
    <w:rsid w:val="006E1E0F"/>
    <w:rsid w:val="006E2433"/>
    <w:rsid w:val="006E3FC8"/>
    <w:rsid w:val="006E3FFE"/>
    <w:rsid w:val="006E78EA"/>
    <w:rsid w:val="006F4998"/>
    <w:rsid w:val="006F6292"/>
    <w:rsid w:val="006F6BB3"/>
    <w:rsid w:val="006F78C1"/>
    <w:rsid w:val="007010DD"/>
    <w:rsid w:val="00701A93"/>
    <w:rsid w:val="00702D46"/>
    <w:rsid w:val="00715034"/>
    <w:rsid w:val="00716684"/>
    <w:rsid w:val="007200D7"/>
    <w:rsid w:val="00736E92"/>
    <w:rsid w:val="00743E07"/>
    <w:rsid w:val="00744463"/>
    <w:rsid w:val="00745CEC"/>
    <w:rsid w:val="00756027"/>
    <w:rsid w:val="00756FE0"/>
    <w:rsid w:val="00761F1E"/>
    <w:rsid w:val="00763729"/>
    <w:rsid w:val="007671D4"/>
    <w:rsid w:val="0076731D"/>
    <w:rsid w:val="0077006A"/>
    <w:rsid w:val="00777F0C"/>
    <w:rsid w:val="00780D12"/>
    <w:rsid w:val="00797F8C"/>
    <w:rsid w:val="007A0B07"/>
    <w:rsid w:val="007A228B"/>
    <w:rsid w:val="007B5F8E"/>
    <w:rsid w:val="007D192A"/>
    <w:rsid w:val="007D4390"/>
    <w:rsid w:val="007E3FC8"/>
    <w:rsid w:val="007E5A84"/>
    <w:rsid w:val="007F167D"/>
    <w:rsid w:val="007F24F0"/>
    <w:rsid w:val="007F5983"/>
    <w:rsid w:val="00800591"/>
    <w:rsid w:val="00805310"/>
    <w:rsid w:val="00813C82"/>
    <w:rsid w:val="0081607A"/>
    <w:rsid w:val="008201EC"/>
    <w:rsid w:val="00831049"/>
    <w:rsid w:val="00832D39"/>
    <w:rsid w:val="008367D7"/>
    <w:rsid w:val="0083686B"/>
    <w:rsid w:val="00837CFB"/>
    <w:rsid w:val="00846551"/>
    <w:rsid w:val="00846F37"/>
    <w:rsid w:val="00851E48"/>
    <w:rsid w:val="00857652"/>
    <w:rsid w:val="008654EC"/>
    <w:rsid w:val="00870D92"/>
    <w:rsid w:val="00877430"/>
    <w:rsid w:val="0087781E"/>
    <w:rsid w:val="00885537"/>
    <w:rsid w:val="008858AE"/>
    <w:rsid w:val="00887C3B"/>
    <w:rsid w:val="008A6EFC"/>
    <w:rsid w:val="008B1E1E"/>
    <w:rsid w:val="008B208E"/>
    <w:rsid w:val="008B3E47"/>
    <w:rsid w:val="008B4DF7"/>
    <w:rsid w:val="008B53C4"/>
    <w:rsid w:val="008C1F31"/>
    <w:rsid w:val="008D0BE5"/>
    <w:rsid w:val="008D34BC"/>
    <w:rsid w:val="008E267D"/>
    <w:rsid w:val="008E30FB"/>
    <w:rsid w:val="008F47B8"/>
    <w:rsid w:val="008F4849"/>
    <w:rsid w:val="008F6893"/>
    <w:rsid w:val="009040D8"/>
    <w:rsid w:val="009100A4"/>
    <w:rsid w:val="00916A70"/>
    <w:rsid w:val="009215A5"/>
    <w:rsid w:val="00922D68"/>
    <w:rsid w:val="00923AF2"/>
    <w:rsid w:val="009301DE"/>
    <w:rsid w:val="009453F5"/>
    <w:rsid w:val="00945A10"/>
    <w:rsid w:val="00947F3D"/>
    <w:rsid w:val="00952E4E"/>
    <w:rsid w:val="009545EA"/>
    <w:rsid w:val="009643E8"/>
    <w:rsid w:val="00965136"/>
    <w:rsid w:val="009667FD"/>
    <w:rsid w:val="0097602E"/>
    <w:rsid w:val="00976048"/>
    <w:rsid w:val="009760D0"/>
    <w:rsid w:val="009776DE"/>
    <w:rsid w:val="00980DBB"/>
    <w:rsid w:val="00981DB8"/>
    <w:rsid w:val="00993C5E"/>
    <w:rsid w:val="00994CFD"/>
    <w:rsid w:val="00997723"/>
    <w:rsid w:val="009A04F1"/>
    <w:rsid w:val="009B2915"/>
    <w:rsid w:val="009B645C"/>
    <w:rsid w:val="009C3067"/>
    <w:rsid w:val="009C4EC5"/>
    <w:rsid w:val="009C6CF5"/>
    <w:rsid w:val="009C72FD"/>
    <w:rsid w:val="009D0334"/>
    <w:rsid w:val="009D4E5C"/>
    <w:rsid w:val="009D742F"/>
    <w:rsid w:val="009D79C1"/>
    <w:rsid w:val="009E3802"/>
    <w:rsid w:val="009E3FA9"/>
    <w:rsid w:val="009E5E39"/>
    <w:rsid w:val="009E6DF7"/>
    <w:rsid w:val="009E6F36"/>
    <w:rsid w:val="009F13BB"/>
    <w:rsid w:val="00A07C8F"/>
    <w:rsid w:val="00A10EE3"/>
    <w:rsid w:val="00A11542"/>
    <w:rsid w:val="00A12DE9"/>
    <w:rsid w:val="00A158CA"/>
    <w:rsid w:val="00A16D1F"/>
    <w:rsid w:val="00A16F0A"/>
    <w:rsid w:val="00A21C0F"/>
    <w:rsid w:val="00A26EA6"/>
    <w:rsid w:val="00A30CC3"/>
    <w:rsid w:val="00A35583"/>
    <w:rsid w:val="00A35A71"/>
    <w:rsid w:val="00A378E2"/>
    <w:rsid w:val="00A42724"/>
    <w:rsid w:val="00A5028C"/>
    <w:rsid w:val="00A52598"/>
    <w:rsid w:val="00A5674A"/>
    <w:rsid w:val="00A633D9"/>
    <w:rsid w:val="00A70E39"/>
    <w:rsid w:val="00A7220D"/>
    <w:rsid w:val="00A7365D"/>
    <w:rsid w:val="00A74E40"/>
    <w:rsid w:val="00A8350D"/>
    <w:rsid w:val="00A83AA7"/>
    <w:rsid w:val="00A845BD"/>
    <w:rsid w:val="00A905BF"/>
    <w:rsid w:val="00A9179D"/>
    <w:rsid w:val="00A919D3"/>
    <w:rsid w:val="00A952CF"/>
    <w:rsid w:val="00A96017"/>
    <w:rsid w:val="00A969D4"/>
    <w:rsid w:val="00A976EB"/>
    <w:rsid w:val="00AA165F"/>
    <w:rsid w:val="00AB17FC"/>
    <w:rsid w:val="00AB5972"/>
    <w:rsid w:val="00AB723A"/>
    <w:rsid w:val="00AC1F26"/>
    <w:rsid w:val="00AC2EE9"/>
    <w:rsid w:val="00AC32C8"/>
    <w:rsid w:val="00AD2902"/>
    <w:rsid w:val="00AE078B"/>
    <w:rsid w:val="00AE114E"/>
    <w:rsid w:val="00AE7BAF"/>
    <w:rsid w:val="00AF19FD"/>
    <w:rsid w:val="00AF2BBF"/>
    <w:rsid w:val="00AF5B56"/>
    <w:rsid w:val="00AF7799"/>
    <w:rsid w:val="00B04E52"/>
    <w:rsid w:val="00B07C25"/>
    <w:rsid w:val="00B17C33"/>
    <w:rsid w:val="00B32D56"/>
    <w:rsid w:val="00B32E25"/>
    <w:rsid w:val="00B336E2"/>
    <w:rsid w:val="00B34B62"/>
    <w:rsid w:val="00B36708"/>
    <w:rsid w:val="00B4525B"/>
    <w:rsid w:val="00B54AD6"/>
    <w:rsid w:val="00B55720"/>
    <w:rsid w:val="00B61317"/>
    <w:rsid w:val="00B774E5"/>
    <w:rsid w:val="00B801CE"/>
    <w:rsid w:val="00B867A9"/>
    <w:rsid w:val="00B960A7"/>
    <w:rsid w:val="00BA0C49"/>
    <w:rsid w:val="00BA56FC"/>
    <w:rsid w:val="00BA7325"/>
    <w:rsid w:val="00BA76E9"/>
    <w:rsid w:val="00BB2DE5"/>
    <w:rsid w:val="00BB33EF"/>
    <w:rsid w:val="00BC1DB3"/>
    <w:rsid w:val="00BC3199"/>
    <w:rsid w:val="00BC5A84"/>
    <w:rsid w:val="00BC5F40"/>
    <w:rsid w:val="00BF03CF"/>
    <w:rsid w:val="00BF1931"/>
    <w:rsid w:val="00BF3987"/>
    <w:rsid w:val="00BF45FE"/>
    <w:rsid w:val="00C05788"/>
    <w:rsid w:val="00C13D74"/>
    <w:rsid w:val="00C1494F"/>
    <w:rsid w:val="00C15204"/>
    <w:rsid w:val="00C20CC1"/>
    <w:rsid w:val="00C21C3C"/>
    <w:rsid w:val="00C32D3B"/>
    <w:rsid w:val="00C356A7"/>
    <w:rsid w:val="00C37EDC"/>
    <w:rsid w:val="00C440D2"/>
    <w:rsid w:val="00C458A0"/>
    <w:rsid w:val="00C55D61"/>
    <w:rsid w:val="00C64DFF"/>
    <w:rsid w:val="00C65763"/>
    <w:rsid w:val="00C70924"/>
    <w:rsid w:val="00C714F0"/>
    <w:rsid w:val="00C72466"/>
    <w:rsid w:val="00C75A7D"/>
    <w:rsid w:val="00C7713B"/>
    <w:rsid w:val="00C804B3"/>
    <w:rsid w:val="00C91370"/>
    <w:rsid w:val="00C91429"/>
    <w:rsid w:val="00CA2CB9"/>
    <w:rsid w:val="00CB3C02"/>
    <w:rsid w:val="00CB4A49"/>
    <w:rsid w:val="00CC0A1D"/>
    <w:rsid w:val="00CC7CB7"/>
    <w:rsid w:val="00CD2053"/>
    <w:rsid w:val="00CD2668"/>
    <w:rsid w:val="00CD313F"/>
    <w:rsid w:val="00CD3D3D"/>
    <w:rsid w:val="00CD7C5A"/>
    <w:rsid w:val="00CE3D31"/>
    <w:rsid w:val="00CE4F41"/>
    <w:rsid w:val="00CE5DAA"/>
    <w:rsid w:val="00CE69D0"/>
    <w:rsid w:val="00CE74D1"/>
    <w:rsid w:val="00CE755E"/>
    <w:rsid w:val="00CF1071"/>
    <w:rsid w:val="00CF265C"/>
    <w:rsid w:val="00CF6AC7"/>
    <w:rsid w:val="00CF7791"/>
    <w:rsid w:val="00D03EB7"/>
    <w:rsid w:val="00D050F1"/>
    <w:rsid w:val="00D1441B"/>
    <w:rsid w:val="00D14739"/>
    <w:rsid w:val="00D1638B"/>
    <w:rsid w:val="00D2657D"/>
    <w:rsid w:val="00D31E76"/>
    <w:rsid w:val="00D350D0"/>
    <w:rsid w:val="00D37DBA"/>
    <w:rsid w:val="00D41AE1"/>
    <w:rsid w:val="00D41FD3"/>
    <w:rsid w:val="00D44EEF"/>
    <w:rsid w:val="00D45EE2"/>
    <w:rsid w:val="00D46F18"/>
    <w:rsid w:val="00D51728"/>
    <w:rsid w:val="00D572DB"/>
    <w:rsid w:val="00D57EB9"/>
    <w:rsid w:val="00D63EB7"/>
    <w:rsid w:val="00D730D7"/>
    <w:rsid w:val="00D77771"/>
    <w:rsid w:val="00D81651"/>
    <w:rsid w:val="00D834B6"/>
    <w:rsid w:val="00D83724"/>
    <w:rsid w:val="00D83FC0"/>
    <w:rsid w:val="00D91D48"/>
    <w:rsid w:val="00D93261"/>
    <w:rsid w:val="00D93954"/>
    <w:rsid w:val="00DA010B"/>
    <w:rsid w:val="00DA3DD3"/>
    <w:rsid w:val="00DA4BA5"/>
    <w:rsid w:val="00DA4CE3"/>
    <w:rsid w:val="00DA6398"/>
    <w:rsid w:val="00DB26D1"/>
    <w:rsid w:val="00DB3728"/>
    <w:rsid w:val="00DC07A7"/>
    <w:rsid w:val="00DD20AB"/>
    <w:rsid w:val="00DD2B33"/>
    <w:rsid w:val="00DD3390"/>
    <w:rsid w:val="00DD613A"/>
    <w:rsid w:val="00DE187A"/>
    <w:rsid w:val="00DF690C"/>
    <w:rsid w:val="00E01624"/>
    <w:rsid w:val="00E10AAE"/>
    <w:rsid w:val="00E14761"/>
    <w:rsid w:val="00E26FF3"/>
    <w:rsid w:val="00E30414"/>
    <w:rsid w:val="00E32008"/>
    <w:rsid w:val="00E33069"/>
    <w:rsid w:val="00E332A3"/>
    <w:rsid w:val="00E346AF"/>
    <w:rsid w:val="00E361BE"/>
    <w:rsid w:val="00E3675A"/>
    <w:rsid w:val="00E367DF"/>
    <w:rsid w:val="00E44C57"/>
    <w:rsid w:val="00E46C1E"/>
    <w:rsid w:val="00E46F53"/>
    <w:rsid w:val="00E51699"/>
    <w:rsid w:val="00E52A1B"/>
    <w:rsid w:val="00E66E15"/>
    <w:rsid w:val="00E83E88"/>
    <w:rsid w:val="00E844AD"/>
    <w:rsid w:val="00E84765"/>
    <w:rsid w:val="00E84992"/>
    <w:rsid w:val="00E856B7"/>
    <w:rsid w:val="00EA3D09"/>
    <w:rsid w:val="00EB05C2"/>
    <w:rsid w:val="00EB1A0F"/>
    <w:rsid w:val="00EB4147"/>
    <w:rsid w:val="00EB59AC"/>
    <w:rsid w:val="00EB7209"/>
    <w:rsid w:val="00EC000D"/>
    <w:rsid w:val="00EC084C"/>
    <w:rsid w:val="00EC3B4A"/>
    <w:rsid w:val="00EE1A0D"/>
    <w:rsid w:val="00EE3723"/>
    <w:rsid w:val="00EE37ED"/>
    <w:rsid w:val="00EE4E2F"/>
    <w:rsid w:val="00EE612B"/>
    <w:rsid w:val="00EE6A90"/>
    <w:rsid w:val="00EF0A05"/>
    <w:rsid w:val="00EF1D86"/>
    <w:rsid w:val="00EF24E5"/>
    <w:rsid w:val="00EF50F0"/>
    <w:rsid w:val="00EF7A3F"/>
    <w:rsid w:val="00F14DAA"/>
    <w:rsid w:val="00F17FC7"/>
    <w:rsid w:val="00F20677"/>
    <w:rsid w:val="00F274AB"/>
    <w:rsid w:val="00F3434A"/>
    <w:rsid w:val="00F34B4E"/>
    <w:rsid w:val="00F4366A"/>
    <w:rsid w:val="00F61C3B"/>
    <w:rsid w:val="00F7626F"/>
    <w:rsid w:val="00F831B4"/>
    <w:rsid w:val="00F8637A"/>
    <w:rsid w:val="00F96649"/>
    <w:rsid w:val="00F96CB8"/>
    <w:rsid w:val="00FD5FDD"/>
    <w:rsid w:val="00FE1027"/>
    <w:rsid w:val="00FE1E3D"/>
    <w:rsid w:val="00FE216A"/>
    <w:rsid w:val="00FF44A3"/>
    <w:rsid w:val="00FF559E"/>
    <w:rsid w:val="03294CEA"/>
    <w:rsid w:val="03561F09"/>
    <w:rsid w:val="03FD05D6"/>
    <w:rsid w:val="072916E2"/>
    <w:rsid w:val="08533C93"/>
    <w:rsid w:val="0A7809B7"/>
    <w:rsid w:val="0BB772BD"/>
    <w:rsid w:val="0C874EE1"/>
    <w:rsid w:val="0DB91387"/>
    <w:rsid w:val="0F2B249C"/>
    <w:rsid w:val="0FC226D4"/>
    <w:rsid w:val="13564211"/>
    <w:rsid w:val="13B62550"/>
    <w:rsid w:val="14074B59"/>
    <w:rsid w:val="1AA650CC"/>
    <w:rsid w:val="1DE859FC"/>
    <w:rsid w:val="1EEE2B9E"/>
    <w:rsid w:val="2011105B"/>
    <w:rsid w:val="20B41BC5"/>
    <w:rsid w:val="20C4511F"/>
    <w:rsid w:val="21557B68"/>
    <w:rsid w:val="23D26F32"/>
    <w:rsid w:val="26585B8E"/>
    <w:rsid w:val="2A5D507B"/>
    <w:rsid w:val="30AA08EF"/>
    <w:rsid w:val="35C91817"/>
    <w:rsid w:val="3A8A3C6B"/>
    <w:rsid w:val="4D4001B9"/>
    <w:rsid w:val="4E060EEC"/>
    <w:rsid w:val="506A7890"/>
    <w:rsid w:val="50B43398"/>
    <w:rsid w:val="5E960581"/>
    <w:rsid w:val="60BF5E58"/>
    <w:rsid w:val="61871F7A"/>
    <w:rsid w:val="62CF1F9B"/>
    <w:rsid w:val="63CF256B"/>
    <w:rsid w:val="67F55412"/>
    <w:rsid w:val="685079F2"/>
    <w:rsid w:val="68FB795E"/>
    <w:rsid w:val="6CBA368C"/>
    <w:rsid w:val="71AB7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20"/>
    <w:semiHidden/>
    <w:unhideWhenUsed/>
    <w:qFormat/>
    <w:uiPriority w:val="99"/>
    <w:pPr>
      <w:spacing w:after="120"/>
      <w:ind w:left="420" w:leftChars="200"/>
    </w:pPr>
  </w:style>
  <w:style w:type="paragraph" w:styleId="4">
    <w:name w:val="Date"/>
    <w:basedOn w:val="1"/>
    <w:next w:val="1"/>
    <w:link w:val="14"/>
    <w:semiHidden/>
    <w:unhideWhenUsed/>
    <w:qFormat/>
    <w:uiPriority w:val="99"/>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日期 字符"/>
    <w:basedOn w:val="10"/>
    <w:link w:val="4"/>
    <w:semiHidden/>
    <w:qFormat/>
    <w:uiPriority w:val="99"/>
  </w:style>
  <w:style w:type="character" w:customStyle="1" w:styleId="15">
    <w:name w:val="im-content1"/>
    <w:basedOn w:val="10"/>
    <w:qFormat/>
    <w:uiPriority w:val="0"/>
    <w:rPr>
      <w:color w:val="333333"/>
    </w:rPr>
  </w:style>
  <w:style w:type="character" w:customStyle="1" w:styleId="16">
    <w:name w:val="标题 2 字符"/>
    <w:basedOn w:val="10"/>
    <w:link w:val="2"/>
    <w:qFormat/>
    <w:uiPriority w:val="9"/>
    <w:rPr>
      <w:rFonts w:ascii="宋体" w:hAnsi="宋体" w:eastAsia="宋体" w:cs="宋体"/>
      <w:b/>
      <w:bCs/>
      <w:kern w:val="0"/>
      <w:sz w:val="36"/>
      <w:szCs w:val="36"/>
    </w:rPr>
  </w:style>
  <w:style w:type="character" w:customStyle="1" w:styleId="17">
    <w:name w:val="批注框文本 字符"/>
    <w:basedOn w:val="10"/>
    <w:link w:val="5"/>
    <w:semiHidden/>
    <w:qFormat/>
    <w:uiPriority w:val="99"/>
    <w:rPr>
      <w:sz w:val="18"/>
      <w:szCs w:val="18"/>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正文文本缩进 字符"/>
    <w:basedOn w:val="10"/>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9E0B9-629E-469D-B75B-3932E3791A81}">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51</Words>
  <Characters>297</Characters>
  <Lines>2</Lines>
  <Paragraphs>1</Paragraphs>
  <TotalTime>0</TotalTime>
  <ScaleCrop>false</ScaleCrop>
  <LinksUpToDate>false</LinksUpToDate>
  <CharactersWithSpaces>347</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2023-02-16T08:43:00Z</dcterms:created>
  <dc:creator>罗婷婷</dc:creator>
  <cp:lastModifiedBy>jxlc</cp:lastModifiedBy>
  <cp:lastPrinted>2023-08-14T08:59:00Z</cp:lastPrinted>
  <dcterms:modified xsi:type="dcterms:W3CDTF">2025-04-17T01:46:59Z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FEDAC392FB174777A0F1EAB323F8E34A</vt:lpwstr>
  </property>
</Properties>
</file>