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1367"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建信理财嘉鑫（稳利）法人版固收类按日开放式产品第14期管理费率优惠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的公告</w:t>
      </w:r>
    </w:p>
    <w:p w14:paraId="04D52AA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4D96177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为更好地为客户提供投资理财服务，建信理财有限责任公司拟于2</w:t>
      </w:r>
      <w:r>
        <w:rPr>
          <w:rFonts w:cs="Arial"/>
          <w:color w:val="000000"/>
          <w:sz w:val="21"/>
          <w:szCs w:val="21"/>
        </w:rPr>
        <w:t>02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5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13</w:t>
      </w:r>
      <w:r>
        <w:rPr>
          <w:rFonts w:hint="eastAsia" w:cs="Arial"/>
          <w:color w:val="000000"/>
          <w:sz w:val="21"/>
          <w:szCs w:val="21"/>
        </w:rPr>
        <w:t>日起（含）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对</w:t>
      </w:r>
      <w:r>
        <w:rPr>
          <w:rFonts w:hint="eastAsia" w:ascii="宋体" w:hAnsi="宋体" w:eastAsia="宋体" w:cs="Arial"/>
          <w:color w:val="000000"/>
          <w:kern w:val="0"/>
          <w:sz w:val="21"/>
          <w:szCs w:val="21"/>
          <w:lang w:val="en-US" w:eastAsia="zh-CN" w:bidi="ar-SA"/>
        </w:rPr>
        <w:t>嘉鑫（稳利）法人版固收类按日开放式产品第14期</w:t>
      </w:r>
      <w:r>
        <w:rPr>
          <w:rFonts w:hint="eastAsia" w:cs="Arial"/>
          <w:color w:val="000000"/>
          <w:sz w:val="21"/>
          <w:szCs w:val="21"/>
        </w:rPr>
        <w:t>的管理费率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进行优惠</w:t>
      </w:r>
      <w:r>
        <w:rPr>
          <w:rFonts w:hint="eastAsia" w:cs="Arial"/>
          <w:color w:val="000000"/>
          <w:sz w:val="21"/>
          <w:szCs w:val="21"/>
        </w:rPr>
        <w:t>，具体调整内容如下：</w:t>
      </w:r>
    </w:p>
    <w:tbl>
      <w:tblPr>
        <w:tblStyle w:val="3"/>
        <w:tblW w:w="4319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513"/>
        <w:gridCol w:w="2262"/>
        <w:gridCol w:w="2463"/>
        <w:gridCol w:w="1840"/>
      </w:tblGrid>
      <w:tr w14:paraId="613782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tblHeader/>
          <w:jc w:val="center"/>
        </w:trPr>
        <w:tc>
          <w:tcPr>
            <w:tcW w:w="3167" w:type="dxa"/>
            <w:vAlign w:val="center"/>
          </w:tcPr>
          <w:p w14:paraId="17F16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513" w:type="dxa"/>
            <w:vAlign w:val="center"/>
          </w:tcPr>
          <w:p w14:paraId="56093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2262" w:type="dxa"/>
            <w:vAlign w:val="center"/>
          </w:tcPr>
          <w:p w14:paraId="0CACA5D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rPr>
                <w:rFonts w:hint="default" w:ascii="Arial" w:hAnsi="Arial" w:eastAsia="宋体" w:cs="Arial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起始日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含）</w:t>
            </w:r>
          </w:p>
        </w:tc>
        <w:tc>
          <w:tcPr>
            <w:tcW w:w="2463" w:type="dxa"/>
            <w:vAlign w:val="center"/>
          </w:tcPr>
          <w:p w14:paraId="71B95EC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rPr>
                <w:rFonts w:hint="default" w:ascii="Arial" w:hAnsi="Arial" w:eastAsia="宋体" w:cs="Arial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优惠结束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日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含）</w:t>
            </w:r>
          </w:p>
        </w:tc>
        <w:tc>
          <w:tcPr>
            <w:tcW w:w="1840" w:type="dxa"/>
            <w:tcBorders/>
            <w:vAlign w:val="center"/>
          </w:tcPr>
          <w:p w14:paraId="6A7BC52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后</w:t>
            </w:r>
          </w:p>
        </w:tc>
      </w:tr>
      <w:tr w14:paraId="421D79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167" w:type="dxa"/>
            <w:vAlign w:val="center"/>
          </w:tcPr>
          <w:p w14:paraId="70BB5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建信理财嘉鑫（稳利）法人版固收类按日开放式产品第14期</w:t>
            </w:r>
          </w:p>
        </w:tc>
        <w:tc>
          <w:tcPr>
            <w:tcW w:w="2513" w:type="dxa"/>
            <w:vAlign w:val="center"/>
          </w:tcPr>
          <w:p w14:paraId="3702A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Z7000724000979</w:t>
            </w:r>
          </w:p>
        </w:tc>
        <w:tc>
          <w:tcPr>
            <w:tcW w:w="2262" w:type="dxa"/>
            <w:vAlign w:val="center"/>
          </w:tcPr>
          <w:p w14:paraId="19C2B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463" w:type="dxa"/>
            <w:vAlign w:val="center"/>
          </w:tcPr>
          <w:p w14:paraId="14AB0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840" w:type="dxa"/>
            <w:vAlign w:val="center"/>
          </w:tcPr>
          <w:p w14:paraId="68953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/>
                <w:color w:val="000000"/>
                <w:sz w:val="18"/>
                <w:szCs w:val="18"/>
              </w:rPr>
              <w:t>%</w:t>
            </w:r>
          </w:p>
        </w:tc>
      </w:tr>
    </w:tbl>
    <w:p w14:paraId="53C04E1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自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优惠结束日</w:t>
      </w:r>
      <w:r>
        <w:rPr>
          <w:rFonts w:hint="eastAsia" w:cs="Arial"/>
          <w:color w:val="000000"/>
          <w:sz w:val="21"/>
          <w:szCs w:val="21"/>
        </w:rPr>
        <w:t>后，管理费率恢复至原费率水平。</w:t>
      </w:r>
    </w:p>
    <w:p w14:paraId="4948549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 w14:paraId="57192C0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firstLine="420"/>
        <w:rPr>
          <w:rFonts w:hint="eastAsia" w:eastAsia="宋体" w:cs="Arial"/>
          <w:color w:val="000000"/>
          <w:sz w:val="21"/>
          <w:szCs w:val="21"/>
          <w:lang w:eastAsia="zh-CN"/>
        </w:rPr>
      </w:pPr>
      <w:r>
        <w:rPr>
          <w:rFonts w:hint="eastAsia" w:cs="Arial"/>
          <w:color w:val="000000"/>
          <w:sz w:val="21"/>
          <w:szCs w:val="21"/>
        </w:rPr>
        <w:t>特此公告</w:t>
      </w:r>
      <w:r>
        <w:rPr>
          <w:rFonts w:hint="eastAsia" w:cs="Arial"/>
          <w:color w:val="000000"/>
          <w:sz w:val="21"/>
          <w:szCs w:val="21"/>
          <w:lang w:eastAsia="zh-CN"/>
        </w:rPr>
        <w:t>。</w:t>
      </w:r>
      <w:bookmarkStart w:id="0" w:name="_GoBack"/>
      <w:bookmarkEnd w:id="0"/>
    </w:p>
    <w:p w14:paraId="6CC573A4">
      <w:pPr>
        <w:pStyle w:val="2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44EF84A7">
      <w:pPr>
        <w:pStyle w:val="2"/>
        <w:snapToGrid w:val="0"/>
        <w:spacing w:before="0" w:beforeAutospacing="0" w:after="0" w:afterAutospacing="0" w:line="460" w:lineRule="atLeast"/>
        <w:ind w:firstLine="420"/>
        <w:jc w:val="right"/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139C4D17"/>
    <w:rsid w:val="22F8694F"/>
    <w:rsid w:val="2A8C7D5D"/>
    <w:rsid w:val="3ABF48DF"/>
    <w:rsid w:val="3E8C3E12"/>
    <w:rsid w:val="46740820"/>
    <w:rsid w:val="4C4F20AE"/>
    <w:rsid w:val="54CB2E50"/>
    <w:rsid w:val="727175A6"/>
    <w:rsid w:val="747B30DE"/>
    <w:rsid w:val="7A5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2024-11-11T01:06:00Z</dcterms:created>
  <dc:creator>jxlc</dc:creator>
  <cp:lastModifiedBy>jxlc</cp:lastModifiedBy>
  <dcterms:modified xsi:type="dcterms:W3CDTF">2025-05-09T06:37:59Z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