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彩虹小标宋" w:hAnsi="微软雅黑" w:eastAsia="彩虹小标宋" w:cs="Arial"/>
          <w:bCs/>
          <w:color w:val="000000" w:themeColor="text1"/>
          <w:kern w:val="0"/>
          <w:sz w:val="44"/>
          <w:szCs w:val="44"/>
          <w14:textFill>
            <w14:solidFill>
              <w14:schemeClr w14:val="tx1"/>
            </w14:solidFill>
          </w14:textFill>
        </w:rPr>
      </w:pPr>
      <w:r>
        <w:rPr>
          <w:rFonts w:hint="eastAsia" w:ascii="彩虹小标宋" w:hAnsi="微软雅黑" w:eastAsia="彩虹小标宋" w:cs="Arial"/>
          <w:bCs/>
          <w:color w:val="000000" w:themeColor="text1"/>
          <w:kern w:val="0"/>
          <w:sz w:val="44"/>
          <w:szCs w:val="44"/>
          <w14:textFill>
            <w14:solidFill>
              <w14:schemeClr w14:val="tx1"/>
            </w14:solidFill>
          </w14:textFill>
        </w:rPr>
        <w:t>关于建信理财建信宝按日开放式净值型理财产品第11期</w:t>
      </w:r>
      <w:bookmarkStart w:id="0" w:name="_GoBack"/>
      <w:bookmarkEnd w:id="0"/>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变更</w:t>
      </w:r>
      <w:r>
        <w:rPr>
          <w:rFonts w:hint="eastAsia" w:ascii="彩虹小标宋" w:hAnsi="微软雅黑" w:eastAsia="彩虹小标宋" w:cs="Arial"/>
          <w:bCs/>
          <w:color w:val="000000" w:themeColor="text1"/>
          <w:kern w:val="0"/>
          <w:sz w:val="44"/>
          <w:szCs w:val="44"/>
          <w14:textFill>
            <w14:solidFill>
              <w14:schemeClr w14:val="tx1"/>
            </w14:solidFill>
          </w14:textFill>
        </w:rPr>
        <w:t>交易时间</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等要素</w:t>
      </w:r>
      <w:r>
        <w:rPr>
          <w:rFonts w:hint="eastAsia" w:ascii="彩虹小标宋" w:hAnsi="微软雅黑" w:eastAsia="彩虹小标宋" w:cs="Arial"/>
          <w:bCs/>
          <w:color w:val="000000" w:themeColor="text1"/>
          <w:kern w:val="0"/>
          <w:sz w:val="44"/>
          <w:szCs w:val="44"/>
          <w14:textFill>
            <w14:solidFill>
              <w14:schemeClr w14:val="tx1"/>
            </w14:solidFill>
          </w14:textFill>
        </w:rPr>
        <w:t>的公告—JXJXBGS2023060211</w:t>
      </w:r>
    </w:p>
    <w:p>
      <w:pPr>
        <w:widowControl/>
        <w:tabs>
          <w:tab w:val="left" w:pos="3990"/>
        </w:tabs>
        <w:snapToGrid w:val="0"/>
        <w:spacing w:line="560" w:lineRule="exact"/>
        <w:rPr>
          <w:rFonts w:ascii="彩虹小标宋" w:hAnsi="微软雅黑" w:eastAsia="彩虹小标宋" w:cs="Arial"/>
          <w:b/>
          <w:bCs/>
          <w:color w:val="000000" w:themeColor="text1"/>
          <w:kern w:val="0"/>
          <w:sz w:val="44"/>
          <w:szCs w:val="44"/>
          <w14:textFill>
            <w14:solidFill>
              <w14:schemeClr w14:val="tx1"/>
            </w14:solidFill>
          </w14:textFill>
        </w:rPr>
      </w:pPr>
    </w:p>
    <w:p>
      <w:pPr>
        <w:widowControl/>
        <w:snapToGrid w:val="0"/>
        <w:spacing w:line="560" w:lineRule="exact"/>
        <w:rPr>
          <w:rFonts w:ascii="彩虹粗仿宋" w:hAnsi="微软雅黑" w:eastAsia="彩虹粗仿宋" w:cs="Arial"/>
          <w:color w:val="666666"/>
          <w:kern w:val="0"/>
          <w:sz w:val="32"/>
          <w:szCs w:val="32"/>
        </w:rPr>
      </w:pPr>
      <w:r>
        <w:rPr>
          <w:rFonts w:hint="eastAsia" w:ascii="彩虹粗仿宋" w:hAnsi="宋体" w:eastAsia="彩虹粗仿宋" w:cs="Arial"/>
          <w:color w:val="000000"/>
          <w:kern w:val="0"/>
          <w:sz w:val="32"/>
          <w:szCs w:val="32"/>
        </w:rPr>
        <w:t>尊敬的投资者：</w:t>
      </w:r>
    </w:p>
    <w:p>
      <w:pPr>
        <w:widowControl/>
        <w:snapToGrid w:val="0"/>
        <w:spacing w:line="560" w:lineRule="exact"/>
        <w:ind w:firstLine="640" w:firstLineChars="200"/>
        <w:rPr>
          <w:rFonts w:ascii="彩虹粗仿宋" w:hAnsi="宋体" w:eastAsia="彩虹粗仿宋" w:cs="Arial"/>
          <w:color w:val="000000"/>
          <w:kern w:val="0"/>
          <w:sz w:val="32"/>
          <w:szCs w:val="32"/>
        </w:rPr>
      </w:pPr>
      <w:r>
        <w:rPr>
          <w:rFonts w:hint="eastAsia" w:ascii="彩虹粗仿宋" w:hAnsi="宋体" w:eastAsia="彩虹粗仿宋" w:cs="Arial"/>
          <w:color w:val="000000"/>
          <w:kern w:val="0"/>
          <w:sz w:val="32"/>
          <w:szCs w:val="32"/>
        </w:rPr>
        <w:t>为更好地为客户提供投资理财服务，建信理财拟于</w:t>
      </w: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8</w:t>
      </w:r>
      <w:r>
        <w:rPr>
          <w:rFonts w:hint="eastAsia" w:ascii="彩虹粗仿宋" w:hAnsi="宋体" w:eastAsia="彩虹粗仿宋" w:cs="Arial"/>
          <w:color w:val="000000"/>
          <w:kern w:val="0"/>
          <w:sz w:val="32"/>
          <w:szCs w:val="32"/>
        </w:rPr>
        <w:t>日（含）起调整建信理财建信宝按日开放式净值型理财产品第11期的申购赎回交易时间，产品明细和调整</w:t>
      </w:r>
      <w:r>
        <w:rPr>
          <w:rFonts w:ascii="彩虹粗仿宋" w:hAnsi="宋体" w:eastAsia="彩虹粗仿宋" w:cs="Arial"/>
          <w:color w:val="000000"/>
          <w:kern w:val="0"/>
          <w:sz w:val="32"/>
          <w:szCs w:val="32"/>
        </w:rPr>
        <w:t>内容</w:t>
      </w:r>
      <w:r>
        <w:rPr>
          <w:rFonts w:hint="eastAsia" w:ascii="彩虹粗仿宋" w:hAnsi="宋体" w:eastAsia="彩虹粗仿宋" w:cs="Arial"/>
          <w:color w:val="000000"/>
          <w:kern w:val="0"/>
          <w:sz w:val="32"/>
          <w:szCs w:val="32"/>
        </w:rPr>
        <w:t>具体</w:t>
      </w:r>
      <w:r>
        <w:rPr>
          <w:rFonts w:ascii="彩虹粗仿宋" w:hAnsi="宋体" w:eastAsia="彩虹粗仿宋" w:cs="Arial"/>
          <w:color w:val="000000"/>
          <w:kern w:val="0"/>
          <w:sz w:val="32"/>
          <w:szCs w:val="32"/>
        </w:rPr>
        <w:t>如下</w:t>
      </w:r>
      <w:r>
        <w:rPr>
          <w:rFonts w:hint="eastAsia" w:ascii="彩虹粗仿宋" w:hAnsi="宋体" w:eastAsia="彩虹粗仿宋" w:cs="Arial"/>
          <w:color w:val="000000"/>
          <w:kern w:val="0"/>
          <w:sz w:val="32"/>
          <w:szCs w:val="32"/>
        </w:rPr>
        <w:t>：</w:t>
      </w:r>
    </w:p>
    <w:tbl>
      <w:tblPr>
        <w:tblStyle w:val="9"/>
        <w:tblW w:w="5000"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3383"/>
        <w:gridCol w:w="4226"/>
        <w:gridCol w:w="3571"/>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56" w:type="pct"/>
            <w:tcBorders>
              <w:top w:val="thinThickSmallGap" w:color="auto" w:sz="24" w:space="0"/>
              <w:left w:val="nil"/>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产品名称</w:t>
            </w:r>
          </w:p>
        </w:tc>
        <w:tc>
          <w:tcPr>
            <w:tcW w:w="1193"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全国银行业理财信息登记系统编码</w:t>
            </w:r>
          </w:p>
        </w:tc>
        <w:tc>
          <w:tcPr>
            <w:tcW w:w="1490"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调整前</w:t>
            </w:r>
          </w:p>
        </w:tc>
        <w:tc>
          <w:tcPr>
            <w:tcW w:w="1259" w:type="pct"/>
            <w:tcBorders>
              <w:top w:val="thinThickSmallGap" w:color="auto" w:sz="24" w:space="0"/>
              <w:left w:val="single" w:color="auto" w:sz="4" w:space="0"/>
              <w:bottom w:val="single" w:color="auto" w:sz="4" w:space="0"/>
              <w:right w:val="nil"/>
            </w:tcBorders>
            <w:vAlign w:val="center"/>
          </w:tcPr>
          <w:p>
            <w:pPr>
              <w:snapToGrid w:val="0"/>
              <w:jc w:val="center"/>
              <w:rPr>
                <w:rFonts w:ascii="宋体" w:hAnsi="宋体" w:eastAsia="宋体"/>
                <w:b/>
                <w:szCs w:val="21"/>
              </w:rPr>
            </w:pPr>
            <w:r>
              <w:rPr>
                <w:rFonts w:hint="eastAsia" w:ascii="宋体" w:hAnsi="宋体" w:eastAsia="宋体"/>
                <w:b/>
                <w:szCs w:val="21"/>
              </w:rPr>
              <w:t>调整后</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pct"/>
            <w:vMerge w:val="restart"/>
            <w:tcBorders>
              <w:top w:val="single" w:color="auto" w:sz="4" w:space="0"/>
              <w:left w:val="nil"/>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建信理财建信宝按日开放式净值型理财产品第11期</w:t>
            </w:r>
          </w:p>
        </w:tc>
        <w:tc>
          <w:tcPr>
            <w:tcW w:w="1193" w:type="pct"/>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Z7000723000533</w:t>
            </w:r>
          </w:p>
        </w:tc>
        <w:tc>
          <w:tcPr>
            <w:tcW w:w="14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15</w:t>
            </w:r>
            <w:r>
              <w:rPr>
                <w:rFonts w:hint="eastAsia" w:ascii="宋体" w:hAnsi="宋体" w:eastAsia="宋体"/>
                <w:color w:val="000000"/>
                <w:szCs w:val="21"/>
              </w:rPr>
              <w:t>:</w:t>
            </w:r>
            <w:r>
              <w:rPr>
                <w:rFonts w:ascii="宋体" w:hAnsi="宋体" w:eastAsia="宋体"/>
                <w:color w:val="000000"/>
                <w:szCs w:val="21"/>
              </w:rPr>
              <w:t>30</w:t>
            </w:r>
          </w:p>
        </w:tc>
        <w:tc>
          <w:tcPr>
            <w:tcW w:w="1259" w:type="pct"/>
            <w:tcBorders>
              <w:top w:val="single" w:color="auto" w:sz="4" w:space="0"/>
              <w:left w:val="single" w:color="auto" w:sz="4" w:space="0"/>
              <w:bottom w:val="single" w:color="auto" w:sz="4" w:space="0"/>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23</w:t>
            </w:r>
            <w:r>
              <w:rPr>
                <w:rFonts w:hint="eastAsia" w:ascii="宋体" w:hAnsi="宋体" w:eastAsia="宋体"/>
                <w:color w:val="000000"/>
                <w:szCs w:val="21"/>
              </w:rPr>
              <w:t>:</w:t>
            </w:r>
            <w:r>
              <w:rPr>
                <w:rFonts w:ascii="宋体" w:hAnsi="宋体" w:eastAsia="宋体"/>
                <w:color w:val="000000"/>
                <w:szCs w:val="21"/>
              </w:rPr>
              <w:t>30</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pct"/>
            <w:vMerge w:val="continue"/>
            <w:tcBorders>
              <w:left w:val="nil"/>
              <w:bottom w:val="single" w:color="auto" w:sz="4" w:space="0"/>
              <w:right w:val="single" w:color="auto" w:sz="4" w:space="0"/>
            </w:tcBorders>
            <w:vAlign w:val="center"/>
          </w:tcPr>
          <w:p>
            <w:pPr>
              <w:jc w:val="center"/>
              <w:rPr>
                <w:rFonts w:hint="eastAsia" w:ascii="宋体" w:hAnsi="宋体" w:eastAsia="宋体"/>
                <w:color w:val="000000"/>
                <w:szCs w:val="21"/>
              </w:rPr>
            </w:pPr>
          </w:p>
        </w:tc>
        <w:tc>
          <w:tcPr>
            <w:tcW w:w="1193" w:type="pct"/>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000000"/>
                <w:kern w:val="0"/>
                <w:szCs w:val="21"/>
              </w:rPr>
            </w:pPr>
          </w:p>
        </w:tc>
        <w:tc>
          <w:tcPr>
            <w:tcW w:w="14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1259" w:type="pct"/>
            <w:tcBorders>
              <w:top w:val="single" w:color="auto" w:sz="4" w:space="0"/>
              <w:left w:val="single" w:color="auto" w:sz="4" w:space="0"/>
              <w:bottom w:val="single" w:color="auto" w:sz="4" w:space="0"/>
              <w:right w:val="nil"/>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申购资金将于申购申请当日冻结，资金扣划规则以及申购资金是否计息以代销机构为准。</w:t>
            </w:r>
          </w:p>
        </w:tc>
      </w:tr>
    </w:tbl>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widowControl/>
        <w:snapToGrid w:val="0"/>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widowControl/>
        <w:snapToGrid w:val="0"/>
        <w:spacing w:line="560" w:lineRule="exact"/>
        <w:ind w:firstLine="640" w:firstLineChars="200"/>
        <w:rPr>
          <w:rFonts w:ascii="彩虹粗仿宋" w:hAnsi="宋体" w:eastAsia="彩虹粗仿宋" w:cs="Arial"/>
          <w:color w:val="000000"/>
          <w:kern w:val="0"/>
          <w:sz w:val="32"/>
          <w:szCs w:val="32"/>
          <w:highlight w:val="yellow"/>
        </w:rPr>
      </w:pPr>
    </w:p>
    <w:p>
      <w:pPr>
        <w:widowControl/>
        <w:snapToGrid w:val="0"/>
        <w:spacing w:line="560" w:lineRule="exact"/>
        <w:ind w:firstLine="420"/>
        <w:rPr>
          <w:rFonts w:ascii="彩虹粗仿宋" w:hAnsi="宋体" w:eastAsia="彩虹粗仿宋" w:cs="Arial"/>
          <w:color w:val="000000"/>
          <w:kern w:val="0"/>
          <w:sz w:val="32"/>
          <w:szCs w:val="32"/>
          <w:highlight w:val="yellow"/>
        </w:rPr>
      </w:pPr>
    </w:p>
    <w:p>
      <w:pPr>
        <w:widowControl/>
        <w:snapToGrid w:val="0"/>
        <w:spacing w:line="560" w:lineRule="exact"/>
        <w:ind w:firstLine="4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napToGrid w:val="0"/>
        <w:spacing w:line="560" w:lineRule="exact"/>
        <w:ind w:right="320" w:firstLine="420"/>
        <w:jc w:val="right"/>
        <w:rPr>
          <w:rFonts w:ascii="彩虹粗仿宋" w:eastAsia="彩虹粗仿宋"/>
        </w:rPr>
      </w:pP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6</w:t>
      </w:r>
      <w:r>
        <w:rPr>
          <w:rFonts w:hint="eastAsia" w:ascii="彩虹粗仿宋" w:hAnsi="宋体" w:eastAsia="彩虹粗仿宋" w:cs="Arial"/>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2B34"/>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74B32"/>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DB44B15"/>
    <w:rsid w:val="1E7F07B9"/>
    <w:rsid w:val="31DF46CF"/>
    <w:rsid w:val="342B443C"/>
    <w:rsid w:val="64176F3D"/>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basedOn w:val="11"/>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E33-B877-4656-998E-5CC2C157FAC0}">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0</TotalTime>
  <ScaleCrop>false</ScaleCrop>
  <LinksUpToDate>false</LinksUpToDate>
  <CharactersWithSpaces>323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2022-12-20T01:39:00Z</dcterms:created>
  <dc:creator>张佩</dc:creator>
  <cp:lastModifiedBy>jxlc</cp:lastModifiedBy>
  <cp:lastPrinted>2022-09-19T02:47:00Z</cp:lastPrinted>
  <dcterms:modified xsi:type="dcterms:W3CDTF">2025-05-26T09:55:35Z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6895A7B6CC594B99BA8B4AD479C6F8D2</vt:lpwstr>
  </property>
</Properties>
</file>