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建信理财部分开放式产品管理费率优惠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的公告</w:t>
      </w:r>
    </w:p>
    <w:p w14:paraId="04D52AA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</w:t>
      </w:r>
      <w:bookmarkStart w:id="0" w:name="_GoBack"/>
      <w:bookmarkEnd w:id="0"/>
      <w:r>
        <w:rPr>
          <w:rFonts w:hint="eastAsia" w:cs="Arial"/>
          <w:color w:val="000000"/>
          <w:sz w:val="21"/>
          <w:szCs w:val="21"/>
        </w:rPr>
        <w:t>于2</w:t>
      </w:r>
      <w:r>
        <w:rPr>
          <w:rFonts w:cs="Arial"/>
          <w:color w:val="000000"/>
          <w:sz w:val="21"/>
          <w:szCs w:val="21"/>
        </w:rPr>
        <w:t>02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10</w:t>
      </w:r>
      <w:r>
        <w:rPr>
          <w:rFonts w:hint="eastAsia" w:cs="Arial"/>
          <w:color w:val="000000"/>
          <w:sz w:val="21"/>
          <w:szCs w:val="21"/>
        </w:rPr>
        <w:t>日起（含）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对</w:t>
      </w:r>
      <w:r>
        <w:rPr>
          <w:rFonts w:hint="eastAsia" w:cs="Arial"/>
          <w:color w:val="000000"/>
          <w:kern w:val="0"/>
          <w:sz w:val="21"/>
          <w:szCs w:val="21"/>
          <w:lang w:val="en-US" w:eastAsia="zh-CN" w:bidi="ar-SA"/>
        </w:rPr>
        <w:t>部分开放式产品</w:t>
      </w:r>
      <w:r>
        <w:rPr>
          <w:rFonts w:hint="eastAsia" w:cs="Arial"/>
          <w:color w:val="000000"/>
          <w:sz w:val="21"/>
          <w:szCs w:val="21"/>
        </w:rPr>
        <w:t>的管理费率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进行优惠</w:t>
      </w:r>
      <w:r>
        <w:rPr>
          <w:rFonts w:hint="eastAsia" w:cs="Arial"/>
          <w:color w:val="000000"/>
          <w:sz w:val="21"/>
          <w:szCs w:val="21"/>
        </w:rPr>
        <w:t>，具体调整内容如下：</w:t>
      </w:r>
    </w:p>
    <w:tbl>
      <w:tblPr>
        <w:tblStyle w:val="3"/>
        <w:tblW w:w="431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13"/>
        <w:gridCol w:w="2262"/>
        <w:gridCol w:w="2463"/>
        <w:gridCol w:w="1840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tblHeader/>
          <w:jc w:val="center"/>
        </w:trPr>
        <w:tc>
          <w:tcPr>
            <w:tcW w:w="3167" w:type="dxa"/>
            <w:vAlign w:val="center"/>
          </w:tcPr>
          <w:p w14:paraId="17F16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513" w:type="dxa"/>
            <w:vAlign w:val="center"/>
          </w:tcPr>
          <w:p w14:paraId="56093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262" w:type="dxa"/>
            <w:vAlign w:val="center"/>
          </w:tcPr>
          <w:p w14:paraId="0CACA5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起始日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2463" w:type="dxa"/>
            <w:vAlign w:val="center"/>
          </w:tcPr>
          <w:p w14:paraId="71B95EC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日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1840" w:type="dxa"/>
            <w:vAlign w:val="center"/>
          </w:tcPr>
          <w:p w14:paraId="6A7BC5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后</w:t>
            </w:r>
          </w:p>
        </w:tc>
      </w:tr>
      <w:tr w14:paraId="421D79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167" w:type="dxa"/>
            <w:vAlign w:val="center"/>
          </w:tcPr>
          <w:p w14:paraId="70BB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建信理财嘉鑫（稳利）法人版固收类按日开放式产品第13期（深圳专享）</w:t>
            </w:r>
          </w:p>
        </w:tc>
        <w:tc>
          <w:tcPr>
            <w:tcW w:w="2513" w:type="dxa"/>
            <w:vAlign w:val="center"/>
          </w:tcPr>
          <w:p w14:paraId="3702A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Z7000724000978</w:t>
            </w:r>
          </w:p>
        </w:tc>
        <w:tc>
          <w:tcPr>
            <w:tcW w:w="2262" w:type="dxa"/>
            <w:vAlign w:val="center"/>
          </w:tcPr>
          <w:p w14:paraId="19C2B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63" w:type="dxa"/>
            <w:vAlign w:val="center"/>
          </w:tcPr>
          <w:p w14:paraId="14AB0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840" w:type="dxa"/>
            <w:vAlign w:val="center"/>
          </w:tcPr>
          <w:p w14:paraId="68953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  <w:tr w14:paraId="171C0F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167" w:type="dxa"/>
            <w:vAlign w:val="center"/>
          </w:tcPr>
          <w:p w14:paraId="26DD8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建信理财嘉鑫（稳利）法人版固收类按日开放式产品第15期（浙江专享）</w:t>
            </w:r>
          </w:p>
        </w:tc>
        <w:tc>
          <w:tcPr>
            <w:tcW w:w="2513" w:type="dxa"/>
            <w:vAlign w:val="center"/>
          </w:tcPr>
          <w:p w14:paraId="156C4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Z7000724000980</w:t>
            </w:r>
          </w:p>
        </w:tc>
        <w:tc>
          <w:tcPr>
            <w:tcW w:w="2262" w:type="dxa"/>
            <w:vAlign w:val="center"/>
          </w:tcPr>
          <w:p w14:paraId="0E0AC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63" w:type="dxa"/>
            <w:vAlign w:val="center"/>
          </w:tcPr>
          <w:p w14:paraId="41EEA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840" w:type="dxa"/>
            <w:vAlign w:val="center"/>
          </w:tcPr>
          <w:p w14:paraId="51E51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</w:tbl>
    <w:p w14:paraId="53C04E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优惠结束日</w:t>
      </w:r>
      <w:r>
        <w:rPr>
          <w:rFonts w:hint="eastAsia" w:cs="Arial"/>
          <w:color w:val="000000"/>
          <w:sz w:val="21"/>
          <w:szCs w:val="21"/>
        </w:rPr>
        <w:t>后，管理费率恢复至原费率水平。</w:t>
      </w:r>
    </w:p>
    <w:p w14:paraId="494854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420"/>
        <w:rPr>
          <w:rFonts w:hint="eastAsia" w:eastAsia="宋体" w:cs="Arial"/>
          <w:color w:val="000000"/>
          <w:sz w:val="21"/>
          <w:szCs w:val="21"/>
          <w:lang w:eastAsia="zh-CN"/>
        </w:rPr>
      </w:pPr>
      <w:r>
        <w:rPr>
          <w:rFonts w:hint="eastAsia" w:cs="Arial"/>
          <w:color w:val="000000"/>
          <w:sz w:val="21"/>
          <w:szCs w:val="21"/>
        </w:rPr>
        <w:t>特此公告</w:t>
      </w:r>
      <w:r>
        <w:rPr>
          <w:rFonts w:hint="eastAsia" w:cs="Arial"/>
          <w:color w:val="000000"/>
          <w:sz w:val="21"/>
          <w:szCs w:val="21"/>
          <w:lang w:eastAsia="zh-CN"/>
        </w:rPr>
        <w:t>。</w:t>
      </w:r>
    </w:p>
    <w:p w14:paraId="6CC573A4"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44EF84A7">
      <w:pPr>
        <w:pStyle w:val="2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27F53A2"/>
    <w:rsid w:val="139C4D17"/>
    <w:rsid w:val="22F8694F"/>
    <w:rsid w:val="2A8C7D5D"/>
    <w:rsid w:val="3ABF48DF"/>
    <w:rsid w:val="3E8C3E12"/>
    <w:rsid w:val="46740820"/>
    <w:rsid w:val="4C4F20AE"/>
    <w:rsid w:val="54CB2E50"/>
    <w:rsid w:val="62A14CF5"/>
    <w:rsid w:val="727175A6"/>
    <w:rsid w:val="747B30DE"/>
    <w:rsid w:val="7A5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2025-06-06T07:50:45Z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