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彩虹黑体" w:hAnsi="彩虹黑体" w:eastAsia="彩虹黑体" w:cs="彩虹黑体"/>
          <w:sz w:val="44"/>
          <w:szCs w:val="44"/>
          <w:lang w:val="en-US"/>
        </w:rPr>
      </w:pPr>
      <w:r>
        <w:rPr>
          <w:rFonts w:hint="eastAsia" w:ascii="彩虹黑体" w:hAnsi="彩虹黑体" w:eastAsia="彩虹黑体" w:cs="彩虹黑体"/>
          <w:sz w:val="44"/>
          <w:szCs w:val="44"/>
          <w:lang w:val="en-US" w:eastAsia="zh-CN"/>
        </w:rPr>
        <w:t>建信理财关于</w:t>
      </w:r>
      <w:r>
        <w:rPr>
          <w:rFonts w:hint="eastAsia" w:ascii="彩虹黑体" w:hAnsi="彩虹黑体" w:eastAsia="彩虹黑体" w:cs="彩虹黑体"/>
          <w:sz w:val="44"/>
          <w:szCs w:val="44"/>
        </w:rPr>
        <w:t>理财产品托管</w:t>
      </w:r>
      <w:r>
        <w:rPr>
          <w:rFonts w:hint="eastAsia" w:ascii="彩虹黑体" w:hAnsi="彩虹黑体" w:eastAsia="彩虹黑体" w:cs="彩虹黑体"/>
          <w:sz w:val="44"/>
          <w:szCs w:val="44"/>
          <w:lang w:val="en-US" w:eastAsia="zh-CN"/>
        </w:rPr>
        <w:t>机构信息的公示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截至本公告发布之日，我司理财产品托管机构共十三家。托管机构主要负责依法依规提供账户开立，财产保管，清算交割，会计核算，资产估值，信息披露，投资监督以及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  <w:lang w:val="en-US" w:eastAsia="zh-CN"/>
        </w:rPr>
        <w:t>托管合同约定的相关服务。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详细信息公示如下：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651"/>
        <w:gridCol w:w="51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黑体" w:hAnsi="彩虹黑体" w:eastAsia="彩虹黑体" w:cs="彩虹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黑体" w:hAnsi="彩虹黑体" w:eastAsia="彩虹黑体" w:cs="彩虹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黑体" w:hAnsi="彩虹黑体" w:eastAsia="彩虹黑体" w:cs="彩虹黑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彩虹黑体" w:hAnsi="彩虹黑体" w:eastAsia="彩虹黑体" w:cs="彩虹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托管机构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黑体" w:hAnsi="彩虹黑体" w:eastAsia="彩虹黑体" w:cs="彩虹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黑体" w:hAnsi="彩虹黑体" w:eastAsia="彩虹黑体" w:cs="彩虹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中国建设银行股份有限公司北京市分行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北京市西城区复兴门南大街甲2号楼天银大厦A西座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中国建设银行股份有限公司上海市分行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上海市陆家嘴环路900号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广东省深圳市福田区鹏程一路8号深圳建行大厦27楼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中国建设银行股份有限公司广东省分行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广东省广州市越秀区东风中路509号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中国建设银行股份有限公司浙江省分行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浙江省杭州市解放东路33号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中国建设银行股份有限公司江苏省分行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江苏省南京市秦淮区洪武路188号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中国建设银行股份有限公司陕西省分行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陕西省西安市碑林区南广济街38号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中国建设银行股份有限公司重庆市分行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重庆市渝中区民族路123号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中国工商银行股份有限公司深圳市分行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广东省深圳市罗湖区深南东路金塘街1号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招商银行股份有限公司深圳市分行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广东省深圳市福田区莲花街道深南大道2016号招商银行深圳分行大厦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深圳市罗湖区建设路2022号国际金融大厦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中国银行股份有限公司上海市分行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上海市浦东新区银城中路200号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98"/>
              </w:tabs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中国银行股份有限公司北京分行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北京市东城区朝阳门内大街2号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上述理财产品托管机构及相关信息如有变化，我司将及时通过官方网站予以公示。此外，您可以在理财产品说明书、信息披露报告等文件中查阅具体产品的托管机构信息。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特此公告！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</w:t>
      </w:r>
    </w:p>
    <w:p>
      <w:pPr>
        <w:spacing w:line="560" w:lineRule="exact"/>
        <w:ind w:firstLine="5120" w:firstLineChars="16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17</w:t>
      </w:r>
      <w:r>
        <w:rPr>
          <w:rFonts w:hint="eastAsia" w:ascii="彩虹粗仿宋" w:eastAsia="彩虹粗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591D"/>
    <w:rsid w:val="25961957"/>
    <w:rsid w:val="365473D3"/>
    <w:rsid w:val="36906EC2"/>
    <w:rsid w:val="43746E33"/>
    <w:rsid w:val="4A815644"/>
    <w:rsid w:val="52853D4B"/>
    <w:rsid w:val="5C115BAB"/>
    <w:rsid w:val="5DB008A9"/>
    <w:rsid w:val="64433DE9"/>
    <w:rsid w:val="67924ECC"/>
    <w:rsid w:val="6DA7072D"/>
    <w:rsid w:val="7137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2022-12-13T02:04:00Z</dcterms:created>
  <dc:creator>JXLCYY-JJL</dc:creator>
  <cp:lastModifiedBy>JXLCYY-JJL</cp:lastModifiedBy>
  <cp:lastPrinted>2023-03-21T01:35:00Z</cp:lastPrinted>
  <dcterms:modified xsi:type="dcterms:W3CDTF">2025-06-17T08:30:31Z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FEB672DB42294F2B9261C9CEBC01DDF7</vt:lpwstr>
  </property>
</Properties>
</file>