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4BCF0A">
      <w:pPr>
        <w:widowControl/>
        <w:snapToGrid w:val="0"/>
        <w:spacing w:line="560" w:lineRule="exact"/>
        <w:jc w:val="center"/>
        <w:rPr>
          <w:rFonts w:ascii="彩虹小标宋" w:hAnsi="微软雅黑" w:eastAsia="彩虹小标宋" w:cs="Arial"/>
          <w:bCs/>
          <w:color w:val="000000" w:themeColor="text1"/>
          <w:kern w:val="0"/>
          <w:sz w:val="44"/>
          <w:szCs w:val="44"/>
          <w14:textFill>
            <w14:solidFill>
              <w14:schemeClr w14:val="tx1"/>
            </w14:solidFill>
          </w14:textFill>
        </w:rPr>
      </w:pPr>
      <w:r>
        <w:rPr>
          <w:rFonts w:hint="eastAsia" w:ascii="彩虹小标宋" w:hAnsi="微软雅黑" w:eastAsia="彩虹小标宋" w:cs="Arial"/>
          <w:bCs/>
          <w:color w:val="000000" w:themeColor="text1"/>
          <w:kern w:val="0"/>
          <w:sz w:val="44"/>
          <w:szCs w:val="44"/>
          <w14:textFill>
            <w14:solidFill>
              <w14:schemeClr w14:val="tx1"/>
            </w14:solidFill>
          </w14:textFill>
        </w:rPr>
        <w:t>关于建信理财</w:t>
      </w:r>
      <w:r>
        <w:rPr>
          <w:rFonts w:hint="eastAsia" w:ascii="彩虹小标宋" w:hAnsi="微软雅黑" w:eastAsia="彩虹小标宋" w:cs="Arial"/>
          <w:bCs/>
          <w:color w:val="000000" w:themeColor="text1"/>
          <w:kern w:val="0"/>
          <w:sz w:val="44"/>
          <w:szCs w:val="44"/>
          <w:lang w:val="en-US" w:eastAsia="zh-CN"/>
          <w14:textFill>
            <w14:solidFill>
              <w14:schemeClr w14:val="tx1"/>
            </w14:solidFill>
          </w14:textFill>
        </w:rPr>
        <w:t>嘉鑫（稳利）法人版按日开放式产品第17期开放资金扣划规则的</w:t>
      </w:r>
      <w:r>
        <w:rPr>
          <w:rFonts w:hint="eastAsia" w:ascii="彩虹小标宋" w:hAnsi="微软雅黑" w:eastAsia="彩虹小标宋" w:cs="Arial"/>
          <w:bCs/>
          <w:color w:val="000000" w:themeColor="text1"/>
          <w:kern w:val="0"/>
          <w:sz w:val="44"/>
          <w:szCs w:val="44"/>
          <w14:textFill>
            <w14:solidFill>
              <w14:schemeClr w14:val="tx1"/>
            </w14:solidFill>
          </w14:textFill>
        </w:rPr>
        <w:t>公告</w:t>
      </w:r>
    </w:p>
    <w:p w14:paraId="2C248FF2">
      <w:pPr>
        <w:widowControl/>
        <w:tabs>
          <w:tab w:val="left" w:pos="3990"/>
        </w:tabs>
        <w:snapToGrid w:val="0"/>
        <w:spacing w:line="560" w:lineRule="exact"/>
        <w:rPr>
          <w:rFonts w:ascii="彩虹小标宋" w:hAnsi="微软雅黑" w:eastAsia="彩虹小标宋" w:cs="Arial"/>
          <w:b/>
          <w:bCs/>
          <w:color w:val="000000" w:themeColor="text1"/>
          <w:kern w:val="0"/>
          <w:sz w:val="44"/>
          <w:szCs w:val="44"/>
          <w14:textFill>
            <w14:solidFill>
              <w14:schemeClr w14:val="tx1"/>
            </w14:solidFill>
          </w14:textFill>
        </w:rPr>
      </w:pPr>
    </w:p>
    <w:p w14:paraId="722C6B76">
      <w:pPr>
        <w:widowControl/>
        <w:snapToGrid w:val="0"/>
        <w:spacing w:line="560" w:lineRule="exact"/>
        <w:rPr>
          <w:rFonts w:ascii="彩虹粗仿宋" w:hAnsi="微软雅黑" w:eastAsia="彩虹粗仿宋" w:cs="Arial"/>
          <w:color w:val="666666"/>
          <w:kern w:val="0"/>
          <w:sz w:val="32"/>
          <w:szCs w:val="32"/>
        </w:rPr>
      </w:pPr>
      <w:r>
        <w:rPr>
          <w:rFonts w:hint="eastAsia" w:ascii="彩虹粗仿宋" w:hAnsi="宋体" w:eastAsia="彩虹粗仿宋" w:cs="Arial"/>
          <w:color w:val="000000"/>
          <w:kern w:val="0"/>
          <w:sz w:val="32"/>
          <w:szCs w:val="32"/>
        </w:rPr>
        <w:t>尊敬的投资者：</w:t>
      </w:r>
    </w:p>
    <w:p w14:paraId="32612EE2">
      <w:pPr>
        <w:widowControl/>
        <w:snapToGrid w:val="0"/>
        <w:spacing w:line="560" w:lineRule="exact"/>
        <w:ind w:firstLine="640" w:firstLineChars="200"/>
        <w:rPr>
          <w:rFonts w:ascii="彩虹粗仿宋" w:hAnsi="宋体" w:eastAsia="彩虹粗仿宋" w:cs="Arial"/>
          <w:color w:val="000000"/>
          <w:kern w:val="0"/>
          <w:sz w:val="32"/>
          <w:szCs w:val="32"/>
        </w:rPr>
      </w:pPr>
      <w:r>
        <w:rPr>
          <w:rFonts w:hint="eastAsia" w:ascii="彩虹粗仿宋" w:hAnsi="宋体" w:eastAsia="彩虹粗仿宋" w:cs="Arial"/>
          <w:color w:val="000000"/>
          <w:kern w:val="0"/>
          <w:sz w:val="32"/>
          <w:szCs w:val="32"/>
        </w:rPr>
        <w:t>为更好地为客户提供投资理财服务，建信理财拟于</w:t>
      </w:r>
      <w:r>
        <w:rPr>
          <w:rFonts w:ascii="彩虹粗仿宋" w:hAnsi="宋体" w:eastAsia="彩虹粗仿宋" w:cs="Arial"/>
          <w:color w:val="000000"/>
          <w:kern w:val="0"/>
          <w:sz w:val="32"/>
          <w:szCs w:val="32"/>
        </w:rPr>
        <w:t>2025</w:t>
      </w:r>
      <w:r>
        <w:rPr>
          <w:rFonts w:hint="eastAsia" w:ascii="彩虹粗仿宋" w:hAnsi="宋体" w:eastAsia="彩虹粗仿宋" w:cs="Arial"/>
          <w:color w:val="000000"/>
          <w:kern w:val="0"/>
          <w:sz w:val="32"/>
          <w:szCs w:val="32"/>
        </w:rPr>
        <w:t>年</w:t>
      </w:r>
      <w:r>
        <w:rPr>
          <w:rFonts w:hint="eastAsia" w:ascii="彩虹粗仿宋" w:hAnsi="宋体" w:eastAsia="彩虹粗仿宋" w:cs="Arial"/>
          <w:color w:val="000000"/>
          <w:kern w:val="0"/>
          <w:sz w:val="32"/>
          <w:szCs w:val="32"/>
          <w:lang w:val="en-US" w:eastAsia="zh-CN"/>
        </w:rPr>
        <w:t>6</w:t>
      </w:r>
      <w:r>
        <w:rPr>
          <w:rFonts w:hint="eastAsia" w:ascii="彩虹粗仿宋" w:hAnsi="宋体" w:eastAsia="彩虹粗仿宋" w:cs="Arial"/>
          <w:color w:val="000000"/>
          <w:kern w:val="0"/>
          <w:sz w:val="32"/>
          <w:szCs w:val="32"/>
        </w:rPr>
        <w:t>月</w:t>
      </w:r>
      <w:r>
        <w:rPr>
          <w:rFonts w:hint="eastAsia" w:ascii="彩虹粗仿宋" w:hAnsi="宋体" w:eastAsia="彩虹粗仿宋" w:cs="Arial"/>
          <w:color w:val="000000"/>
          <w:kern w:val="0"/>
          <w:sz w:val="32"/>
          <w:szCs w:val="32"/>
          <w:lang w:val="en-US" w:eastAsia="zh-CN"/>
        </w:rPr>
        <w:t>26</w:t>
      </w:r>
      <w:r>
        <w:rPr>
          <w:rFonts w:hint="eastAsia" w:ascii="彩虹粗仿宋" w:hAnsi="宋体" w:eastAsia="彩虹粗仿宋" w:cs="Arial"/>
          <w:color w:val="000000"/>
          <w:kern w:val="0"/>
          <w:sz w:val="32"/>
          <w:szCs w:val="32"/>
        </w:rPr>
        <w:t>日（含）起调整</w:t>
      </w:r>
      <w:r>
        <w:rPr>
          <w:rFonts w:hint="eastAsia" w:ascii="彩虹粗仿宋" w:hAnsi="宋体" w:eastAsia="彩虹粗仿宋" w:cs="Arial"/>
          <w:color w:val="000000"/>
          <w:kern w:val="0"/>
          <w:sz w:val="32"/>
          <w:szCs w:val="32"/>
          <w:lang w:val="en-US" w:eastAsia="zh-CN"/>
        </w:rPr>
        <w:t>嘉鑫（稳利）法人版按日开放式产品第17期的资金扣划规则</w:t>
      </w:r>
      <w:r>
        <w:rPr>
          <w:rFonts w:hint="eastAsia" w:ascii="彩虹粗仿宋" w:hAnsi="宋体" w:eastAsia="彩虹粗仿宋" w:cs="Arial"/>
          <w:color w:val="000000"/>
          <w:kern w:val="0"/>
          <w:sz w:val="32"/>
          <w:szCs w:val="32"/>
        </w:rPr>
        <w:t>，产品</w:t>
      </w:r>
      <w:bookmarkStart w:id="0" w:name="_GoBack"/>
      <w:bookmarkEnd w:id="0"/>
      <w:r>
        <w:rPr>
          <w:rFonts w:hint="eastAsia" w:ascii="彩虹粗仿宋" w:hAnsi="宋体" w:eastAsia="彩虹粗仿宋" w:cs="Arial"/>
          <w:color w:val="000000"/>
          <w:kern w:val="0"/>
          <w:sz w:val="32"/>
          <w:szCs w:val="32"/>
        </w:rPr>
        <w:t>明细和调整</w:t>
      </w:r>
      <w:r>
        <w:rPr>
          <w:rFonts w:ascii="彩虹粗仿宋" w:hAnsi="宋体" w:eastAsia="彩虹粗仿宋" w:cs="Arial"/>
          <w:color w:val="000000"/>
          <w:kern w:val="0"/>
          <w:sz w:val="32"/>
          <w:szCs w:val="32"/>
        </w:rPr>
        <w:t>内容</w:t>
      </w:r>
      <w:r>
        <w:rPr>
          <w:rFonts w:hint="eastAsia" w:ascii="彩虹粗仿宋" w:hAnsi="宋体" w:eastAsia="彩虹粗仿宋" w:cs="Arial"/>
          <w:color w:val="000000"/>
          <w:kern w:val="0"/>
          <w:sz w:val="32"/>
          <w:szCs w:val="32"/>
        </w:rPr>
        <w:t>具体</w:t>
      </w:r>
      <w:r>
        <w:rPr>
          <w:rFonts w:ascii="彩虹粗仿宋" w:hAnsi="宋体" w:eastAsia="彩虹粗仿宋" w:cs="Arial"/>
          <w:color w:val="000000"/>
          <w:kern w:val="0"/>
          <w:sz w:val="32"/>
          <w:szCs w:val="32"/>
        </w:rPr>
        <w:t>如下</w:t>
      </w:r>
      <w:r>
        <w:rPr>
          <w:rFonts w:hint="eastAsia" w:ascii="彩虹粗仿宋" w:hAnsi="宋体" w:eastAsia="彩虹粗仿宋" w:cs="Arial"/>
          <w:color w:val="000000"/>
          <w:kern w:val="0"/>
          <w:sz w:val="32"/>
          <w:szCs w:val="32"/>
        </w:rPr>
        <w:t>：</w:t>
      </w:r>
    </w:p>
    <w:tbl>
      <w:tblPr>
        <w:tblStyle w:val="9"/>
        <w:tblW w:w="5000" w:type="pct"/>
        <w:jc w:val="center"/>
        <w:tblBorders>
          <w:top w:val="thinThickSmallGap" w:color="auto" w:sz="2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5654"/>
        <w:gridCol w:w="3650"/>
        <w:gridCol w:w="2683"/>
        <w:gridCol w:w="2187"/>
      </w:tblGrid>
      <w:tr w14:paraId="15676B21">
        <w:tblPrEx>
          <w:tblBorders>
            <w:top w:val="thinThickSmallGap" w:color="auto" w:sz="2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1994" w:type="pct"/>
            <w:tcBorders>
              <w:top w:val="thinThickSmallGap" w:color="auto" w:sz="24" w:space="0"/>
              <w:left w:val="nil"/>
              <w:bottom w:val="single" w:color="auto" w:sz="4" w:space="0"/>
              <w:right w:val="single" w:color="auto" w:sz="4" w:space="0"/>
            </w:tcBorders>
            <w:vAlign w:val="center"/>
          </w:tcPr>
          <w:p w14:paraId="484E45E2">
            <w:pPr>
              <w:snapToGrid w:val="0"/>
              <w:jc w:val="center"/>
              <w:rPr>
                <w:rFonts w:ascii="宋体" w:hAnsi="宋体" w:eastAsia="宋体"/>
                <w:b/>
                <w:szCs w:val="21"/>
              </w:rPr>
            </w:pPr>
            <w:r>
              <w:rPr>
                <w:rFonts w:hint="eastAsia" w:ascii="宋体" w:hAnsi="宋体" w:eastAsia="宋体"/>
                <w:b/>
                <w:szCs w:val="21"/>
              </w:rPr>
              <w:t>产品名称</w:t>
            </w:r>
          </w:p>
        </w:tc>
        <w:tc>
          <w:tcPr>
            <w:tcW w:w="1287" w:type="pct"/>
            <w:tcBorders>
              <w:top w:val="thinThickSmallGap" w:color="auto" w:sz="24" w:space="0"/>
              <w:left w:val="single" w:color="auto" w:sz="4" w:space="0"/>
              <w:bottom w:val="single" w:color="auto" w:sz="4" w:space="0"/>
              <w:right w:val="single" w:color="auto" w:sz="4" w:space="0"/>
            </w:tcBorders>
            <w:vAlign w:val="center"/>
          </w:tcPr>
          <w:p w14:paraId="35CA71D7">
            <w:pPr>
              <w:snapToGrid w:val="0"/>
              <w:jc w:val="center"/>
              <w:rPr>
                <w:rFonts w:ascii="宋体" w:hAnsi="宋体" w:eastAsia="宋体"/>
                <w:b/>
                <w:szCs w:val="21"/>
              </w:rPr>
            </w:pPr>
            <w:r>
              <w:rPr>
                <w:rFonts w:hint="eastAsia" w:ascii="宋体" w:hAnsi="宋体" w:eastAsia="宋体"/>
                <w:b/>
                <w:szCs w:val="21"/>
              </w:rPr>
              <w:t>全国银行业理财信息登记系统编码</w:t>
            </w:r>
          </w:p>
        </w:tc>
        <w:tc>
          <w:tcPr>
            <w:tcW w:w="946" w:type="pct"/>
            <w:tcBorders>
              <w:top w:val="thinThickSmallGap" w:color="auto" w:sz="24" w:space="0"/>
              <w:left w:val="single" w:color="auto" w:sz="4" w:space="0"/>
              <w:bottom w:val="single" w:color="auto" w:sz="4" w:space="0"/>
              <w:right w:val="single" w:color="auto" w:sz="4" w:space="0"/>
            </w:tcBorders>
            <w:vAlign w:val="center"/>
          </w:tcPr>
          <w:p w14:paraId="08942DBC">
            <w:pPr>
              <w:snapToGrid w:val="0"/>
              <w:jc w:val="center"/>
              <w:rPr>
                <w:rFonts w:ascii="宋体" w:hAnsi="宋体" w:eastAsia="宋体"/>
                <w:b/>
                <w:szCs w:val="21"/>
              </w:rPr>
            </w:pPr>
            <w:r>
              <w:rPr>
                <w:rFonts w:hint="eastAsia" w:ascii="宋体" w:hAnsi="宋体" w:eastAsia="宋体"/>
                <w:b/>
                <w:szCs w:val="21"/>
              </w:rPr>
              <w:t>调整前</w:t>
            </w:r>
          </w:p>
        </w:tc>
        <w:tc>
          <w:tcPr>
            <w:tcW w:w="771" w:type="pct"/>
            <w:tcBorders>
              <w:top w:val="thinThickSmallGap" w:color="auto" w:sz="24" w:space="0"/>
              <w:left w:val="single" w:color="auto" w:sz="4" w:space="0"/>
              <w:bottom w:val="single" w:color="auto" w:sz="4" w:space="0"/>
              <w:right w:val="nil"/>
            </w:tcBorders>
            <w:vAlign w:val="center"/>
          </w:tcPr>
          <w:p w14:paraId="09F8F409">
            <w:pPr>
              <w:snapToGrid w:val="0"/>
              <w:jc w:val="center"/>
              <w:rPr>
                <w:rFonts w:ascii="宋体" w:hAnsi="宋体" w:eastAsia="宋体"/>
                <w:b/>
                <w:szCs w:val="21"/>
              </w:rPr>
            </w:pPr>
            <w:r>
              <w:rPr>
                <w:rFonts w:hint="eastAsia" w:ascii="宋体" w:hAnsi="宋体" w:eastAsia="宋体"/>
                <w:b/>
                <w:szCs w:val="21"/>
              </w:rPr>
              <w:t>调整后</w:t>
            </w:r>
          </w:p>
        </w:tc>
      </w:tr>
      <w:tr w14:paraId="161A560F">
        <w:tblPrEx>
          <w:tblBorders>
            <w:top w:val="thinThickSmallGap" w:color="auto" w:sz="2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994" w:type="pct"/>
            <w:tcBorders>
              <w:left w:val="nil"/>
              <w:bottom w:val="single" w:color="auto" w:sz="4" w:space="0"/>
              <w:right w:val="single" w:color="auto" w:sz="4" w:space="0"/>
            </w:tcBorders>
            <w:vAlign w:val="center"/>
          </w:tcPr>
          <w:p w14:paraId="65A9F4FA">
            <w:pPr>
              <w:keepNext w:val="0"/>
              <w:keepLines w:val="0"/>
              <w:widowControl/>
              <w:suppressLineNumbers w:val="0"/>
              <w:jc w:val="center"/>
              <w:textAlignment w:val="center"/>
              <w:rPr>
                <w:rFonts w:hint="eastAsia" w:ascii="宋体" w:hAnsi="宋体" w:eastAsia="宋体"/>
                <w:color w:val="000000"/>
                <w:szCs w:val="21"/>
              </w:rPr>
            </w:pPr>
            <w:r>
              <w:rPr>
                <w:rFonts w:hint="eastAsia" w:ascii="宋体" w:hAnsi="宋体" w:cs="宋体"/>
                <w:sz w:val="20"/>
                <w:szCs w:val="20"/>
              </w:rPr>
              <w:t>建信理财嘉鑫（稳利）法人版固收类按日开放式产品第17期</w:t>
            </w:r>
          </w:p>
        </w:tc>
        <w:tc>
          <w:tcPr>
            <w:tcW w:w="1287" w:type="pct"/>
            <w:tcBorders>
              <w:left w:val="single" w:color="auto" w:sz="4" w:space="0"/>
              <w:bottom w:val="single" w:color="auto" w:sz="4" w:space="0"/>
              <w:right w:val="single" w:color="auto" w:sz="4" w:space="0"/>
            </w:tcBorders>
            <w:vAlign w:val="center"/>
          </w:tcPr>
          <w:p w14:paraId="4411364F">
            <w:pPr>
              <w:keepNext w:val="0"/>
              <w:keepLines w:val="0"/>
              <w:widowControl/>
              <w:suppressLineNumbers w:val="0"/>
              <w:jc w:val="center"/>
              <w:textAlignment w:val="center"/>
              <w:rPr>
                <w:rFonts w:hint="eastAsia" w:ascii="宋体" w:hAnsi="宋体" w:eastAsia="宋体"/>
                <w:color w:val="000000"/>
                <w:kern w:val="0"/>
                <w:szCs w:val="21"/>
              </w:rPr>
            </w:pPr>
            <w:r>
              <w:rPr>
                <w:rFonts w:hint="eastAsia" w:ascii="宋体" w:hAnsi="宋体" w:eastAsia="宋体"/>
                <w:color w:val="000000"/>
                <w:kern w:val="0"/>
                <w:szCs w:val="21"/>
              </w:rPr>
              <w:t>Z7000725000271</w:t>
            </w:r>
          </w:p>
        </w:tc>
        <w:tc>
          <w:tcPr>
            <w:tcW w:w="946" w:type="pct"/>
            <w:tcBorders>
              <w:left w:val="single" w:color="auto" w:sz="4" w:space="0"/>
              <w:bottom w:val="single" w:color="auto" w:sz="4" w:space="0"/>
              <w:right w:val="single" w:color="auto" w:sz="4" w:space="0"/>
            </w:tcBorders>
            <w:vAlign w:val="center"/>
          </w:tcPr>
          <w:p w14:paraId="77938BC6">
            <w:pPr>
              <w:jc w:val="center"/>
              <w:rPr>
                <w:rFonts w:hint="eastAsia" w:ascii="宋体" w:hAnsi="宋体" w:eastAsia="宋体"/>
                <w:color w:val="000000"/>
                <w:szCs w:val="21"/>
                <w:lang w:val="en-US" w:eastAsia="zh-CN"/>
              </w:rPr>
            </w:pPr>
            <w:r>
              <w:rPr>
                <w:rFonts w:hint="eastAsia" w:ascii="宋体" w:hAnsi="宋体"/>
                <w:sz w:val="20"/>
                <w:szCs w:val="20"/>
              </w:rPr>
              <w:t>申购资金将于申购申请当日冻结，并于申购当日开放时间后进行申购资金扣划。</w:t>
            </w:r>
            <w:r>
              <w:rPr>
                <w:rFonts w:hint="eastAsia" w:ascii="宋体" w:hAnsi="宋体"/>
                <w:color w:val="000000" w:themeColor="text1"/>
                <w:sz w:val="20"/>
                <w:szCs w:val="20"/>
                <w14:textFill>
                  <w14:solidFill>
                    <w14:schemeClr w14:val="tx1"/>
                  </w14:solidFill>
                </w14:textFill>
              </w:rPr>
              <w:t>若申购申请当日是开放日，则投资者申购资金不计息。若申购申请当日不是开放日，则申购申请当日至当次开放日（不含）期间，投资者可获得申购资金的活期利息收益，且不计入投资本金。</w:t>
            </w:r>
          </w:p>
        </w:tc>
        <w:tc>
          <w:tcPr>
            <w:tcW w:w="771" w:type="pct"/>
            <w:tcBorders>
              <w:left w:val="single" w:color="auto" w:sz="4" w:space="0"/>
              <w:bottom w:val="single" w:color="auto" w:sz="4" w:space="0"/>
              <w:right w:val="nil"/>
            </w:tcBorders>
            <w:vAlign w:val="center"/>
          </w:tcPr>
          <w:p w14:paraId="4C323622">
            <w:pPr>
              <w:jc w:val="center"/>
              <w:rPr>
                <w:rFonts w:hint="eastAsia" w:ascii="宋体" w:hAnsi="宋体" w:eastAsia="宋体"/>
                <w:color w:val="000000"/>
                <w:szCs w:val="21"/>
              </w:rPr>
            </w:pPr>
            <w:r>
              <w:rPr>
                <w:rFonts w:hint="eastAsia" w:ascii="宋体" w:hAnsi="宋体" w:eastAsia="宋体"/>
                <w:color w:val="000000"/>
                <w:szCs w:val="21"/>
              </w:rPr>
              <w:t>申购资金将于申购申请当日冻结，资金扣划规则以及申购资金是否计息以代销机构为准。</w:t>
            </w:r>
          </w:p>
        </w:tc>
      </w:tr>
    </w:tbl>
    <w:p w14:paraId="57F990ED">
      <w:pPr>
        <w:spacing w:line="560" w:lineRule="exact"/>
        <w:ind w:firstLine="640" w:firstLineChars="200"/>
        <w:rPr>
          <w:rFonts w:ascii="彩虹粗仿宋" w:eastAsia="彩虹粗仿宋"/>
          <w:sz w:val="32"/>
          <w:szCs w:val="32"/>
        </w:rPr>
      </w:pPr>
      <w:r>
        <w:rPr>
          <w:rFonts w:hint="eastAsia" w:ascii="彩虹粗仿宋" w:eastAsia="彩虹粗仿宋"/>
          <w:sz w:val="32"/>
          <w:szCs w:val="32"/>
        </w:rPr>
        <w:t>建信理财有限责任公司将本着勤勉尽职的原则持续为您提供专业化理财服务。</w:t>
      </w:r>
    </w:p>
    <w:p w14:paraId="71172878">
      <w:pPr>
        <w:widowControl/>
        <w:snapToGrid w:val="0"/>
        <w:spacing w:line="560" w:lineRule="exact"/>
        <w:ind w:firstLine="640" w:firstLineChars="200"/>
        <w:rPr>
          <w:rFonts w:ascii="彩虹粗仿宋" w:eastAsia="彩虹粗仿宋"/>
          <w:sz w:val="32"/>
          <w:szCs w:val="32"/>
        </w:rPr>
      </w:pPr>
      <w:r>
        <w:rPr>
          <w:rFonts w:hint="eastAsia" w:ascii="彩虹粗仿宋" w:eastAsia="彩虹粗仿宋"/>
          <w:sz w:val="32"/>
          <w:szCs w:val="32"/>
        </w:rPr>
        <w:t>特此公告。</w:t>
      </w:r>
    </w:p>
    <w:p w14:paraId="74F7D3D2">
      <w:pPr>
        <w:widowControl/>
        <w:snapToGrid w:val="0"/>
        <w:spacing w:line="560" w:lineRule="exact"/>
        <w:ind w:firstLine="640" w:firstLineChars="200"/>
        <w:rPr>
          <w:rFonts w:ascii="彩虹粗仿宋" w:hAnsi="宋体" w:eastAsia="彩虹粗仿宋" w:cs="Arial"/>
          <w:color w:val="000000"/>
          <w:kern w:val="0"/>
          <w:sz w:val="32"/>
          <w:szCs w:val="32"/>
          <w:highlight w:val="yellow"/>
        </w:rPr>
      </w:pPr>
    </w:p>
    <w:p w14:paraId="0261A661">
      <w:pPr>
        <w:widowControl/>
        <w:snapToGrid w:val="0"/>
        <w:spacing w:line="560" w:lineRule="exact"/>
        <w:ind w:firstLine="420"/>
        <w:rPr>
          <w:rFonts w:ascii="彩虹粗仿宋" w:hAnsi="宋体" w:eastAsia="彩虹粗仿宋" w:cs="Arial"/>
          <w:color w:val="000000"/>
          <w:kern w:val="0"/>
          <w:sz w:val="32"/>
          <w:szCs w:val="32"/>
          <w:highlight w:val="yellow"/>
        </w:rPr>
      </w:pPr>
    </w:p>
    <w:p w14:paraId="2F238537">
      <w:pPr>
        <w:widowControl/>
        <w:snapToGrid w:val="0"/>
        <w:spacing w:line="560" w:lineRule="exact"/>
        <w:ind w:firstLine="420"/>
        <w:jc w:val="right"/>
        <w:rPr>
          <w:rFonts w:ascii="彩虹粗仿宋" w:eastAsia="彩虹粗仿宋"/>
          <w:sz w:val="32"/>
          <w:szCs w:val="32"/>
        </w:rPr>
      </w:pPr>
      <w:r>
        <w:rPr>
          <w:rFonts w:hint="eastAsia" w:ascii="彩虹粗仿宋" w:eastAsia="彩虹粗仿宋"/>
          <w:sz w:val="32"/>
          <w:szCs w:val="32"/>
        </w:rPr>
        <w:t>建信理财有限责任公司</w:t>
      </w:r>
    </w:p>
    <w:p w14:paraId="4C93979B">
      <w:pPr>
        <w:widowControl/>
        <w:snapToGrid w:val="0"/>
        <w:spacing w:line="560" w:lineRule="exact"/>
        <w:ind w:right="320" w:firstLine="420"/>
        <w:jc w:val="right"/>
        <w:rPr>
          <w:rFonts w:ascii="彩虹粗仿宋" w:eastAsia="彩虹粗仿宋"/>
        </w:rPr>
      </w:pPr>
      <w:r>
        <w:rPr>
          <w:rFonts w:ascii="彩虹粗仿宋" w:hAnsi="宋体" w:eastAsia="彩虹粗仿宋" w:cs="Arial"/>
          <w:color w:val="000000"/>
          <w:kern w:val="0"/>
          <w:sz w:val="32"/>
          <w:szCs w:val="32"/>
        </w:rPr>
        <w:t>2025</w:t>
      </w:r>
      <w:r>
        <w:rPr>
          <w:rFonts w:hint="eastAsia" w:ascii="彩虹粗仿宋" w:hAnsi="宋体" w:eastAsia="彩虹粗仿宋" w:cs="Arial"/>
          <w:color w:val="000000"/>
          <w:kern w:val="0"/>
          <w:sz w:val="32"/>
          <w:szCs w:val="32"/>
        </w:rPr>
        <w:t>年</w:t>
      </w:r>
      <w:r>
        <w:rPr>
          <w:rFonts w:hint="eastAsia" w:ascii="彩虹粗仿宋" w:hAnsi="宋体" w:eastAsia="彩虹粗仿宋" w:cs="Arial"/>
          <w:color w:val="000000"/>
          <w:kern w:val="0"/>
          <w:sz w:val="32"/>
          <w:szCs w:val="32"/>
          <w:lang w:val="en-US" w:eastAsia="zh-CN"/>
        </w:rPr>
        <w:t>6</w:t>
      </w:r>
      <w:r>
        <w:rPr>
          <w:rFonts w:hint="eastAsia" w:ascii="彩虹粗仿宋" w:hAnsi="宋体" w:eastAsia="彩虹粗仿宋" w:cs="Arial"/>
          <w:color w:val="000000"/>
          <w:kern w:val="0"/>
          <w:sz w:val="32"/>
          <w:szCs w:val="32"/>
        </w:rPr>
        <w:t>月</w:t>
      </w:r>
      <w:r>
        <w:rPr>
          <w:rFonts w:hint="eastAsia" w:ascii="彩虹粗仿宋" w:hAnsi="宋体" w:eastAsia="彩虹粗仿宋" w:cs="Arial"/>
          <w:color w:val="000000"/>
          <w:kern w:val="0"/>
          <w:sz w:val="32"/>
          <w:szCs w:val="32"/>
          <w:lang w:val="en-US" w:eastAsia="zh-CN"/>
        </w:rPr>
        <w:t>24</w:t>
      </w:r>
      <w:r>
        <w:rPr>
          <w:rFonts w:hint="eastAsia" w:ascii="彩虹粗仿宋" w:hAnsi="宋体" w:eastAsia="彩虹粗仿宋" w:cs="Arial"/>
          <w:color w:val="000000"/>
          <w:kern w:val="0"/>
          <w:sz w:val="32"/>
          <w:szCs w:val="32"/>
        </w:rPr>
        <w:t>日</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彩虹小标宋">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彩虹粗仿宋">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hkZmQzYzU2MWU4OTg1ZjQ0MjVmZjgxZjk0YTljMmYifQ=="/>
  </w:docVars>
  <w:rsids>
    <w:rsidRoot w:val="007906E0"/>
    <w:rsid w:val="000014EE"/>
    <w:rsid w:val="000043B1"/>
    <w:rsid w:val="00007B3D"/>
    <w:rsid w:val="000104F1"/>
    <w:rsid w:val="00013CD4"/>
    <w:rsid w:val="00015E30"/>
    <w:rsid w:val="000164A7"/>
    <w:rsid w:val="00022083"/>
    <w:rsid w:val="00023184"/>
    <w:rsid w:val="000234FA"/>
    <w:rsid w:val="00030133"/>
    <w:rsid w:val="000319EB"/>
    <w:rsid w:val="000334FA"/>
    <w:rsid w:val="000341FB"/>
    <w:rsid w:val="00035DF3"/>
    <w:rsid w:val="000406BE"/>
    <w:rsid w:val="00042291"/>
    <w:rsid w:val="00043307"/>
    <w:rsid w:val="00044AD3"/>
    <w:rsid w:val="000463ED"/>
    <w:rsid w:val="000478F3"/>
    <w:rsid w:val="00047EE5"/>
    <w:rsid w:val="00047F36"/>
    <w:rsid w:val="00071448"/>
    <w:rsid w:val="00072FF4"/>
    <w:rsid w:val="000742E7"/>
    <w:rsid w:val="000751FB"/>
    <w:rsid w:val="00081E98"/>
    <w:rsid w:val="00082D37"/>
    <w:rsid w:val="0008520A"/>
    <w:rsid w:val="00085EE8"/>
    <w:rsid w:val="00090ABC"/>
    <w:rsid w:val="00091FAD"/>
    <w:rsid w:val="00096C38"/>
    <w:rsid w:val="000A5AD6"/>
    <w:rsid w:val="000A6C8A"/>
    <w:rsid w:val="000A73CD"/>
    <w:rsid w:val="000B2E34"/>
    <w:rsid w:val="000B4931"/>
    <w:rsid w:val="000B6620"/>
    <w:rsid w:val="000B6E29"/>
    <w:rsid w:val="000B766B"/>
    <w:rsid w:val="000C4CFF"/>
    <w:rsid w:val="000C5971"/>
    <w:rsid w:val="000D2CB9"/>
    <w:rsid w:val="000D34C4"/>
    <w:rsid w:val="000D7E72"/>
    <w:rsid w:val="000E01FF"/>
    <w:rsid w:val="000E02A0"/>
    <w:rsid w:val="000E1B32"/>
    <w:rsid w:val="000E3F80"/>
    <w:rsid w:val="000E6829"/>
    <w:rsid w:val="000F0424"/>
    <w:rsid w:val="000F1DAF"/>
    <w:rsid w:val="000F2BA4"/>
    <w:rsid w:val="00100B00"/>
    <w:rsid w:val="00102027"/>
    <w:rsid w:val="00102983"/>
    <w:rsid w:val="0010480F"/>
    <w:rsid w:val="0011072F"/>
    <w:rsid w:val="001108F8"/>
    <w:rsid w:val="00116B57"/>
    <w:rsid w:val="0012199C"/>
    <w:rsid w:val="00121E1B"/>
    <w:rsid w:val="001257FF"/>
    <w:rsid w:val="001270A4"/>
    <w:rsid w:val="00127F79"/>
    <w:rsid w:val="00132133"/>
    <w:rsid w:val="00132B7A"/>
    <w:rsid w:val="00143C42"/>
    <w:rsid w:val="0014472D"/>
    <w:rsid w:val="0014641F"/>
    <w:rsid w:val="001479E9"/>
    <w:rsid w:val="001530FF"/>
    <w:rsid w:val="00161C53"/>
    <w:rsid w:val="00163BDA"/>
    <w:rsid w:val="0016630B"/>
    <w:rsid w:val="00166E3A"/>
    <w:rsid w:val="00167A86"/>
    <w:rsid w:val="001737BC"/>
    <w:rsid w:val="0017385D"/>
    <w:rsid w:val="0018189F"/>
    <w:rsid w:val="0018245C"/>
    <w:rsid w:val="00184A9D"/>
    <w:rsid w:val="00185E09"/>
    <w:rsid w:val="00187794"/>
    <w:rsid w:val="00192745"/>
    <w:rsid w:val="00192E64"/>
    <w:rsid w:val="0019488E"/>
    <w:rsid w:val="00194A7C"/>
    <w:rsid w:val="00197385"/>
    <w:rsid w:val="001A09A8"/>
    <w:rsid w:val="001A31F8"/>
    <w:rsid w:val="001A7182"/>
    <w:rsid w:val="001A7385"/>
    <w:rsid w:val="001B1A01"/>
    <w:rsid w:val="001B284D"/>
    <w:rsid w:val="001B724C"/>
    <w:rsid w:val="001C3524"/>
    <w:rsid w:val="001D0295"/>
    <w:rsid w:val="001D0B16"/>
    <w:rsid w:val="001E2E78"/>
    <w:rsid w:val="001E31B7"/>
    <w:rsid w:val="001E4B8D"/>
    <w:rsid w:val="001E6915"/>
    <w:rsid w:val="001F28FB"/>
    <w:rsid w:val="001F4AF5"/>
    <w:rsid w:val="001F68FA"/>
    <w:rsid w:val="001F6B84"/>
    <w:rsid w:val="001F79F3"/>
    <w:rsid w:val="0020231F"/>
    <w:rsid w:val="00205A7E"/>
    <w:rsid w:val="00212D99"/>
    <w:rsid w:val="002130DF"/>
    <w:rsid w:val="002223FC"/>
    <w:rsid w:val="00222B84"/>
    <w:rsid w:val="0022642B"/>
    <w:rsid w:val="00246712"/>
    <w:rsid w:val="002526E5"/>
    <w:rsid w:val="00253D57"/>
    <w:rsid w:val="00255B58"/>
    <w:rsid w:val="00257048"/>
    <w:rsid w:val="002607D6"/>
    <w:rsid w:val="0026542A"/>
    <w:rsid w:val="002666A5"/>
    <w:rsid w:val="00266F32"/>
    <w:rsid w:val="00273FF3"/>
    <w:rsid w:val="002779AD"/>
    <w:rsid w:val="0028408B"/>
    <w:rsid w:val="00296EEB"/>
    <w:rsid w:val="002A104A"/>
    <w:rsid w:val="002A2F4B"/>
    <w:rsid w:val="002A3EC7"/>
    <w:rsid w:val="002A64D6"/>
    <w:rsid w:val="002B0358"/>
    <w:rsid w:val="002B2905"/>
    <w:rsid w:val="002B365F"/>
    <w:rsid w:val="002B391A"/>
    <w:rsid w:val="002B58A5"/>
    <w:rsid w:val="002C5BF5"/>
    <w:rsid w:val="002C5EF0"/>
    <w:rsid w:val="002C6A6B"/>
    <w:rsid w:val="002C6F27"/>
    <w:rsid w:val="002D22D4"/>
    <w:rsid w:val="002D7017"/>
    <w:rsid w:val="002D790B"/>
    <w:rsid w:val="002E1D92"/>
    <w:rsid w:val="002E32AD"/>
    <w:rsid w:val="002E393E"/>
    <w:rsid w:val="002E7652"/>
    <w:rsid w:val="002F08DE"/>
    <w:rsid w:val="002F0D04"/>
    <w:rsid w:val="002F113B"/>
    <w:rsid w:val="002F4BB8"/>
    <w:rsid w:val="002F6A95"/>
    <w:rsid w:val="0030651D"/>
    <w:rsid w:val="003116EA"/>
    <w:rsid w:val="003231AD"/>
    <w:rsid w:val="003271DB"/>
    <w:rsid w:val="003335E9"/>
    <w:rsid w:val="00334EE3"/>
    <w:rsid w:val="00337428"/>
    <w:rsid w:val="003436F6"/>
    <w:rsid w:val="00350428"/>
    <w:rsid w:val="00354F86"/>
    <w:rsid w:val="003646C4"/>
    <w:rsid w:val="00365CDA"/>
    <w:rsid w:val="00366977"/>
    <w:rsid w:val="003669CB"/>
    <w:rsid w:val="00371164"/>
    <w:rsid w:val="00371347"/>
    <w:rsid w:val="003713D5"/>
    <w:rsid w:val="00371F6E"/>
    <w:rsid w:val="00372894"/>
    <w:rsid w:val="00375E79"/>
    <w:rsid w:val="00381EEA"/>
    <w:rsid w:val="0039145E"/>
    <w:rsid w:val="00392B17"/>
    <w:rsid w:val="00392B31"/>
    <w:rsid w:val="00396762"/>
    <w:rsid w:val="00397553"/>
    <w:rsid w:val="003A0411"/>
    <w:rsid w:val="003A584C"/>
    <w:rsid w:val="003A6EFB"/>
    <w:rsid w:val="003A740B"/>
    <w:rsid w:val="003A75F2"/>
    <w:rsid w:val="003B0770"/>
    <w:rsid w:val="003B6228"/>
    <w:rsid w:val="003C006D"/>
    <w:rsid w:val="003C09B5"/>
    <w:rsid w:val="003C1505"/>
    <w:rsid w:val="003C5A22"/>
    <w:rsid w:val="003C5EAE"/>
    <w:rsid w:val="003C6E67"/>
    <w:rsid w:val="003C7E1B"/>
    <w:rsid w:val="003E032F"/>
    <w:rsid w:val="003E265A"/>
    <w:rsid w:val="003E5EA0"/>
    <w:rsid w:val="003E770A"/>
    <w:rsid w:val="003F5261"/>
    <w:rsid w:val="00402C73"/>
    <w:rsid w:val="00402DBF"/>
    <w:rsid w:val="0041262D"/>
    <w:rsid w:val="00414A09"/>
    <w:rsid w:val="00414D34"/>
    <w:rsid w:val="00416726"/>
    <w:rsid w:val="0041782F"/>
    <w:rsid w:val="00417C12"/>
    <w:rsid w:val="00425BED"/>
    <w:rsid w:val="00426602"/>
    <w:rsid w:val="00430093"/>
    <w:rsid w:val="00431B68"/>
    <w:rsid w:val="00440C99"/>
    <w:rsid w:val="00440F24"/>
    <w:rsid w:val="004412F3"/>
    <w:rsid w:val="00442C6F"/>
    <w:rsid w:val="00442CEF"/>
    <w:rsid w:val="0045350B"/>
    <w:rsid w:val="004541CE"/>
    <w:rsid w:val="00465E99"/>
    <w:rsid w:val="00466D9C"/>
    <w:rsid w:val="004713EF"/>
    <w:rsid w:val="00471497"/>
    <w:rsid w:val="0047298F"/>
    <w:rsid w:val="00473C3D"/>
    <w:rsid w:val="0047408E"/>
    <w:rsid w:val="00477E15"/>
    <w:rsid w:val="00482180"/>
    <w:rsid w:val="0048637A"/>
    <w:rsid w:val="00492EB4"/>
    <w:rsid w:val="00494CD2"/>
    <w:rsid w:val="00496A21"/>
    <w:rsid w:val="00496C76"/>
    <w:rsid w:val="004970D8"/>
    <w:rsid w:val="004A1567"/>
    <w:rsid w:val="004A55F1"/>
    <w:rsid w:val="004B0EDA"/>
    <w:rsid w:val="004B23A2"/>
    <w:rsid w:val="004C0654"/>
    <w:rsid w:val="004C4EBB"/>
    <w:rsid w:val="004C7AA8"/>
    <w:rsid w:val="004D0585"/>
    <w:rsid w:val="004D1932"/>
    <w:rsid w:val="004D1E6B"/>
    <w:rsid w:val="004D23DD"/>
    <w:rsid w:val="004D33BF"/>
    <w:rsid w:val="004D551B"/>
    <w:rsid w:val="004D5D4E"/>
    <w:rsid w:val="004E01C4"/>
    <w:rsid w:val="004F0A56"/>
    <w:rsid w:val="004F1337"/>
    <w:rsid w:val="004F27DF"/>
    <w:rsid w:val="004F7489"/>
    <w:rsid w:val="0050713F"/>
    <w:rsid w:val="00510945"/>
    <w:rsid w:val="00517121"/>
    <w:rsid w:val="0051755B"/>
    <w:rsid w:val="0052289E"/>
    <w:rsid w:val="0053185A"/>
    <w:rsid w:val="005333F0"/>
    <w:rsid w:val="00536C9B"/>
    <w:rsid w:val="00537617"/>
    <w:rsid w:val="00543707"/>
    <w:rsid w:val="00544EA9"/>
    <w:rsid w:val="00545075"/>
    <w:rsid w:val="00551AFA"/>
    <w:rsid w:val="00552A4F"/>
    <w:rsid w:val="00553203"/>
    <w:rsid w:val="00554B5A"/>
    <w:rsid w:val="00563414"/>
    <w:rsid w:val="005641B3"/>
    <w:rsid w:val="00564EE5"/>
    <w:rsid w:val="0056500E"/>
    <w:rsid w:val="00565C49"/>
    <w:rsid w:val="00566438"/>
    <w:rsid w:val="00570959"/>
    <w:rsid w:val="005720EC"/>
    <w:rsid w:val="005754C3"/>
    <w:rsid w:val="00575815"/>
    <w:rsid w:val="00576304"/>
    <w:rsid w:val="00576EA1"/>
    <w:rsid w:val="005773D1"/>
    <w:rsid w:val="00584B5F"/>
    <w:rsid w:val="005856B2"/>
    <w:rsid w:val="005A01DA"/>
    <w:rsid w:val="005B212D"/>
    <w:rsid w:val="005B2B7B"/>
    <w:rsid w:val="005B33C4"/>
    <w:rsid w:val="005B55E4"/>
    <w:rsid w:val="005B560B"/>
    <w:rsid w:val="005B568D"/>
    <w:rsid w:val="005B6E7C"/>
    <w:rsid w:val="005C1FE4"/>
    <w:rsid w:val="005C2910"/>
    <w:rsid w:val="005C6EF0"/>
    <w:rsid w:val="005C79C3"/>
    <w:rsid w:val="005E1830"/>
    <w:rsid w:val="005E3078"/>
    <w:rsid w:val="005E38FA"/>
    <w:rsid w:val="005E3A1D"/>
    <w:rsid w:val="005E5C98"/>
    <w:rsid w:val="005F2B41"/>
    <w:rsid w:val="005F2FE8"/>
    <w:rsid w:val="005F41CA"/>
    <w:rsid w:val="005F5F6C"/>
    <w:rsid w:val="0060237E"/>
    <w:rsid w:val="006023B6"/>
    <w:rsid w:val="00602803"/>
    <w:rsid w:val="00602DDA"/>
    <w:rsid w:val="00603E66"/>
    <w:rsid w:val="0061354C"/>
    <w:rsid w:val="006141F9"/>
    <w:rsid w:val="006152BF"/>
    <w:rsid w:val="00615664"/>
    <w:rsid w:val="00616286"/>
    <w:rsid w:val="00616D2C"/>
    <w:rsid w:val="00617407"/>
    <w:rsid w:val="0062164A"/>
    <w:rsid w:val="00624A02"/>
    <w:rsid w:val="00624A47"/>
    <w:rsid w:val="00626C50"/>
    <w:rsid w:val="00626CD2"/>
    <w:rsid w:val="00626DF9"/>
    <w:rsid w:val="00635833"/>
    <w:rsid w:val="00635A56"/>
    <w:rsid w:val="006504D5"/>
    <w:rsid w:val="006646E4"/>
    <w:rsid w:val="00664DB1"/>
    <w:rsid w:val="00667091"/>
    <w:rsid w:val="006701E7"/>
    <w:rsid w:val="00670FE7"/>
    <w:rsid w:val="006716F5"/>
    <w:rsid w:val="006719DA"/>
    <w:rsid w:val="0067785E"/>
    <w:rsid w:val="00677875"/>
    <w:rsid w:val="006806A9"/>
    <w:rsid w:val="00680B27"/>
    <w:rsid w:val="00681546"/>
    <w:rsid w:val="006833E1"/>
    <w:rsid w:val="006856F0"/>
    <w:rsid w:val="006877D5"/>
    <w:rsid w:val="00691F99"/>
    <w:rsid w:val="0069438C"/>
    <w:rsid w:val="00696DE6"/>
    <w:rsid w:val="00697E99"/>
    <w:rsid w:val="006A33FE"/>
    <w:rsid w:val="006A358B"/>
    <w:rsid w:val="006A4178"/>
    <w:rsid w:val="006A581F"/>
    <w:rsid w:val="006A79E8"/>
    <w:rsid w:val="006B0176"/>
    <w:rsid w:val="006B0648"/>
    <w:rsid w:val="006B3BB0"/>
    <w:rsid w:val="006B53FA"/>
    <w:rsid w:val="006B694A"/>
    <w:rsid w:val="006C20E2"/>
    <w:rsid w:val="006C3980"/>
    <w:rsid w:val="006D4F51"/>
    <w:rsid w:val="006D5EBA"/>
    <w:rsid w:val="006F0D87"/>
    <w:rsid w:val="006F576E"/>
    <w:rsid w:val="006F5847"/>
    <w:rsid w:val="00701C9A"/>
    <w:rsid w:val="00702E91"/>
    <w:rsid w:val="00703E7A"/>
    <w:rsid w:val="00704B63"/>
    <w:rsid w:val="00706308"/>
    <w:rsid w:val="00706382"/>
    <w:rsid w:val="00706762"/>
    <w:rsid w:val="007130D3"/>
    <w:rsid w:val="00714843"/>
    <w:rsid w:val="00714FBB"/>
    <w:rsid w:val="00720E5B"/>
    <w:rsid w:val="00721014"/>
    <w:rsid w:val="007226E1"/>
    <w:rsid w:val="00726283"/>
    <w:rsid w:val="00734927"/>
    <w:rsid w:val="00740189"/>
    <w:rsid w:val="0074415C"/>
    <w:rsid w:val="00766015"/>
    <w:rsid w:val="00766ADE"/>
    <w:rsid w:val="00767FC5"/>
    <w:rsid w:val="00775CA1"/>
    <w:rsid w:val="00775E3A"/>
    <w:rsid w:val="0077648C"/>
    <w:rsid w:val="00782618"/>
    <w:rsid w:val="00783D55"/>
    <w:rsid w:val="00786229"/>
    <w:rsid w:val="007903E4"/>
    <w:rsid w:val="007906E0"/>
    <w:rsid w:val="00790A0C"/>
    <w:rsid w:val="00791545"/>
    <w:rsid w:val="007A0E70"/>
    <w:rsid w:val="007A255B"/>
    <w:rsid w:val="007A6406"/>
    <w:rsid w:val="007B24EC"/>
    <w:rsid w:val="007B3F1A"/>
    <w:rsid w:val="007B6436"/>
    <w:rsid w:val="007B6F15"/>
    <w:rsid w:val="007C10E4"/>
    <w:rsid w:val="007C3091"/>
    <w:rsid w:val="007C4168"/>
    <w:rsid w:val="007C48A1"/>
    <w:rsid w:val="007C63B4"/>
    <w:rsid w:val="007C6F8F"/>
    <w:rsid w:val="007C70ED"/>
    <w:rsid w:val="007C7298"/>
    <w:rsid w:val="007D5A47"/>
    <w:rsid w:val="007F1CB3"/>
    <w:rsid w:val="007F213F"/>
    <w:rsid w:val="007F3400"/>
    <w:rsid w:val="007F37AD"/>
    <w:rsid w:val="007F3D20"/>
    <w:rsid w:val="007F6917"/>
    <w:rsid w:val="00800192"/>
    <w:rsid w:val="00803F1E"/>
    <w:rsid w:val="0080723A"/>
    <w:rsid w:val="00817AF3"/>
    <w:rsid w:val="00817B70"/>
    <w:rsid w:val="00820686"/>
    <w:rsid w:val="00821FE2"/>
    <w:rsid w:val="008225C9"/>
    <w:rsid w:val="008248BE"/>
    <w:rsid w:val="00824D4A"/>
    <w:rsid w:val="0082643A"/>
    <w:rsid w:val="00832FDC"/>
    <w:rsid w:val="00834A42"/>
    <w:rsid w:val="00834B7F"/>
    <w:rsid w:val="00843133"/>
    <w:rsid w:val="008438F3"/>
    <w:rsid w:val="00843958"/>
    <w:rsid w:val="008461F8"/>
    <w:rsid w:val="00850F35"/>
    <w:rsid w:val="0085278A"/>
    <w:rsid w:val="00857B8B"/>
    <w:rsid w:val="00867881"/>
    <w:rsid w:val="0088306E"/>
    <w:rsid w:val="00883218"/>
    <w:rsid w:val="00890B47"/>
    <w:rsid w:val="00891997"/>
    <w:rsid w:val="00891F18"/>
    <w:rsid w:val="00893870"/>
    <w:rsid w:val="00894DD4"/>
    <w:rsid w:val="00897C83"/>
    <w:rsid w:val="008A326E"/>
    <w:rsid w:val="008A56E7"/>
    <w:rsid w:val="008B6921"/>
    <w:rsid w:val="008C155F"/>
    <w:rsid w:val="008C170C"/>
    <w:rsid w:val="008C205F"/>
    <w:rsid w:val="008D1938"/>
    <w:rsid w:val="008D1C26"/>
    <w:rsid w:val="008D2042"/>
    <w:rsid w:val="008D5865"/>
    <w:rsid w:val="008D766A"/>
    <w:rsid w:val="008D7E75"/>
    <w:rsid w:val="008E19C7"/>
    <w:rsid w:val="008E2340"/>
    <w:rsid w:val="008F2F9D"/>
    <w:rsid w:val="008F51DC"/>
    <w:rsid w:val="008F7555"/>
    <w:rsid w:val="00902F5A"/>
    <w:rsid w:val="00910009"/>
    <w:rsid w:val="0092196E"/>
    <w:rsid w:val="00927C53"/>
    <w:rsid w:val="00930D20"/>
    <w:rsid w:val="009361A4"/>
    <w:rsid w:val="00936F6A"/>
    <w:rsid w:val="009376F5"/>
    <w:rsid w:val="00940306"/>
    <w:rsid w:val="0095307C"/>
    <w:rsid w:val="009559D8"/>
    <w:rsid w:val="00960BE4"/>
    <w:rsid w:val="00961631"/>
    <w:rsid w:val="00965151"/>
    <w:rsid w:val="009653EE"/>
    <w:rsid w:val="00971BBE"/>
    <w:rsid w:val="009728FC"/>
    <w:rsid w:val="009804A1"/>
    <w:rsid w:val="00980C11"/>
    <w:rsid w:val="00982489"/>
    <w:rsid w:val="00990A69"/>
    <w:rsid w:val="0099123D"/>
    <w:rsid w:val="00993D06"/>
    <w:rsid w:val="00995A63"/>
    <w:rsid w:val="009A47E6"/>
    <w:rsid w:val="009A6FD4"/>
    <w:rsid w:val="009A7D4D"/>
    <w:rsid w:val="009B1120"/>
    <w:rsid w:val="009B2502"/>
    <w:rsid w:val="009B6EA3"/>
    <w:rsid w:val="009C3702"/>
    <w:rsid w:val="009C7FE5"/>
    <w:rsid w:val="009D09F1"/>
    <w:rsid w:val="009D2ADF"/>
    <w:rsid w:val="009D41DE"/>
    <w:rsid w:val="009D4DD6"/>
    <w:rsid w:val="009D4F7D"/>
    <w:rsid w:val="009E174B"/>
    <w:rsid w:val="009E7475"/>
    <w:rsid w:val="009E7E02"/>
    <w:rsid w:val="009F152A"/>
    <w:rsid w:val="009F589F"/>
    <w:rsid w:val="00A011B6"/>
    <w:rsid w:val="00A0345A"/>
    <w:rsid w:val="00A05C65"/>
    <w:rsid w:val="00A06CB1"/>
    <w:rsid w:val="00A10F21"/>
    <w:rsid w:val="00A1188F"/>
    <w:rsid w:val="00A1289D"/>
    <w:rsid w:val="00A16353"/>
    <w:rsid w:val="00A21CF0"/>
    <w:rsid w:val="00A2393E"/>
    <w:rsid w:val="00A31318"/>
    <w:rsid w:val="00A351D1"/>
    <w:rsid w:val="00A359CE"/>
    <w:rsid w:val="00A41262"/>
    <w:rsid w:val="00A4235D"/>
    <w:rsid w:val="00A427A8"/>
    <w:rsid w:val="00A429E5"/>
    <w:rsid w:val="00A44FD7"/>
    <w:rsid w:val="00A530DC"/>
    <w:rsid w:val="00A562CC"/>
    <w:rsid w:val="00A563F3"/>
    <w:rsid w:val="00A57727"/>
    <w:rsid w:val="00A60516"/>
    <w:rsid w:val="00A62AB7"/>
    <w:rsid w:val="00A62CC3"/>
    <w:rsid w:val="00A64904"/>
    <w:rsid w:val="00A659CD"/>
    <w:rsid w:val="00A6636E"/>
    <w:rsid w:val="00A72AE0"/>
    <w:rsid w:val="00A73EFF"/>
    <w:rsid w:val="00A7750F"/>
    <w:rsid w:val="00A8188F"/>
    <w:rsid w:val="00A82D34"/>
    <w:rsid w:val="00A82D72"/>
    <w:rsid w:val="00A83542"/>
    <w:rsid w:val="00A85998"/>
    <w:rsid w:val="00A90F71"/>
    <w:rsid w:val="00A94400"/>
    <w:rsid w:val="00A95F88"/>
    <w:rsid w:val="00AA0AD2"/>
    <w:rsid w:val="00AA0DCC"/>
    <w:rsid w:val="00AA3D9F"/>
    <w:rsid w:val="00AC2F4C"/>
    <w:rsid w:val="00AC3224"/>
    <w:rsid w:val="00AC7613"/>
    <w:rsid w:val="00AD0351"/>
    <w:rsid w:val="00AD2945"/>
    <w:rsid w:val="00AD5411"/>
    <w:rsid w:val="00AD6E07"/>
    <w:rsid w:val="00AE6B9E"/>
    <w:rsid w:val="00AF14A4"/>
    <w:rsid w:val="00AF1AF5"/>
    <w:rsid w:val="00AF5C99"/>
    <w:rsid w:val="00AF644D"/>
    <w:rsid w:val="00AF6F5F"/>
    <w:rsid w:val="00B023BC"/>
    <w:rsid w:val="00B0288D"/>
    <w:rsid w:val="00B03E72"/>
    <w:rsid w:val="00B048E2"/>
    <w:rsid w:val="00B10321"/>
    <w:rsid w:val="00B10327"/>
    <w:rsid w:val="00B1053A"/>
    <w:rsid w:val="00B132AF"/>
    <w:rsid w:val="00B1360F"/>
    <w:rsid w:val="00B13EA1"/>
    <w:rsid w:val="00B21552"/>
    <w:rsid w:val="00B22431"/>
    <w:rsid w:val="00B237FA"/>
    <w:rsid w:val="00B24651"/>
    <w:rsid w:val="00B35184"/>
    <w:rsid w:val="00B36516"/>
    <w:rsid w:val="00B5350C"/>
    <w:rsid w:val="00B56420"/>
    <w:rsid w:val="00B60183"/>
    <w:rsid w:val="00B60725"/>
    <w:rsid w:val="00B6195D"/>
    <w:rsid w:val="00B61FE6"/>
    <w:rsid w:val="00B62490"/>
    <w:rsid w:val="00B643D6"/>
    <w:rsid w:val="00B67FD1"/>
    <w:rsid w:val="00B71E2D"/>
    <w:rsid w:val="00B74629"/>
    <w:rsid w:val="00B757BF"/>
    <w:rsid w:val="00B80789"/>
    <w:rsid w:val="00B81A4B"/>
    <w:rsid w:val="00B841B8"/>
    <w:rsid w:val="00B853C6"/>
    <w:rsid w:val="00B92B34"/>
    <w:rsid w:val="00B942D0"/>
    <w:rsid w:val="00B96A9B"/>
    <w:rsid w:val="00BA71E3"/>
    <w:rsid w:val="00BC3D25"/>
    <w:rsid w:val="00BC4F5F"/>
    <w:rsid w:val="00BC6974"/>
    <w:rsid w:val="00BD4255"/>
    <w:rsid w:val="00BD51BE"/>
    <w:rsid w:val="00BE331A"/>
    <w:rsid w:val="00BE411E"/>
    <w:rsid w:val="00BF374E"/>
    <w:rsid w:val="00C10A9B"/>
    <w:rsid w:val="00C1659B"/>
    <w:rsid w:val="00C30BD6"/>
    <w:rsid w:val="00C33581"/>
    <w:rsid w:val="00C41EE3"/>
    <w:rsid w:val="00C45CB8"/>
    <w:rsid w:val="00C52163"/>
    <w:rsid w:val="00C52A12"/>
    <w:rsid w:val="00C53FB3"/>
    <w:rsid w:val="00C5492D"/>
    <w:rsid w:val="00C549AB"/>
    <w:rsid w:val="00C54A56"/>
    <w:rsid w:val="00C553CF"/>
    <w:rsid w:val="00C566BF"/>
    <w:rsid w:val="00C60D25"/>
    <w:rsid w:val="00C63757"/>
    <w:rsid w:val="00C63C9D"/>
    <w:rsid w:val="00C64C6B"/>
    <w:rsid w:val="00C712A0"/>
    <w:rsid w:val="00C72012"/>
    <w:rsid w:val="00C72439"/>
    <w:rsid w:val="00C77376"/>
    <w:rsid w:val="00C81CE2"/>
    <w:rsid w:val="00C834CD"/>
    <w:rsid w:val="00C869CA"/>
    <w:rsid w:val="00C944A6"/>
    <w:rsid w:val="00C95393"/>
    <w:rsid w:val="00CA00D2"/>
    <w:rsid w:val="00CA1B98"/>
    <w:rsid w:val="00CA42B9"/>
    <w:rsid w:val="00CA65E6"/>
    <w:rsid w:val="00CA7A96"/>
    <w:rsid w:val="00CB060F"/>
    <w:rsid w:val="00CB3FFA"/>
    <w:rsid w:val="00CB4788"/>
    <w:rsid w:val="00CB613F"/>
    <w:rsid w:val="00CB7B98"/>
    <w:rsid w:val="00CC40E4"/>
    <w:rsid w:val="00CC444E"/>
    <w:rsid w:val="00CC451E"/>
    <w:rsid w:val="00CC46E8"/>
    <w:rsid w:val="00CC4A37"/>
    <w:rsid w:val="00CC607F"/>
    <w:rsid w:val="00CD15D1"/>
    <w:rsid w:val="00CD38DC"/>
    <w:rsid w:val="00CD3933"/>
    <w:rsid w:val="00CE25EF"/>
    <w:rsid w:val="00CE5ED7"/>
    <w:rsid w:val="00CE608F"/>
    <w:rsid w:val="00CE662B"/>
    <w:rsid w:val="00CF1C05"/>
    <w:rsid w:val="00CF25DB"/>
    <w:rsid w:val="00CF381C"/>
    <w:rsid w:val="00CF4573"/>
    <w:rsid w:val="00D00C63"/>
    <w:rsid w:val="00D03573"/>
    <w:rsid w:val="00D0666D"/>
    <w:rsid w:val="00D07A60"/>
    <w:rsid w:val="00D148CE"/>
    <w:rsid w:val="00D21606"/>
    <w:rsid w:val="00D25C5B"/>
    <w:rsid w:val="00D40146"/>
    <w:rsid w:val="00D404BB"/>
    <w:rsid w:val="00D4058A"/>
    <w:rsid w:val="00D4328B"/>
    <w:rsid w:val="00D43749"/>
    <w:rsid w:val="00D470B2"/>
    <w:rsid w:val="00D55E5C"/>
    <w:rsid w:val="00D5642B"/>
    <w:rsid w:val="00D5776F"/>
    <w:rsid w:val="00D6206D"/>
    <w:rsid w:val="00D6353A"/>
    <w:rsid w:val="00D63663"/>
    <w:rsid w:val="00D64333"/>
    <w:rsid w:val="00D702D6"/>
    <w:rsid w:val="00D711C6"/>
    <w:rsid w:val="00D72C7E"/>
    <w:rsid w:val="00D77E18"/>
    <w:rsid w:val="00D85345"/>
    <w:rsid w:val="00D91E09"/>
    <w:rsid w:val="00DA1DBF"/>
    <w:rsid w:val="00DA4341"/>
    <w:rsid w:val="00DB1E20"/>
    <w:rsid w:val="00DB4495"/>
    <w:rsid w:val="00DB5B96"/>
    <w:rsid w:val="00DB5E99"/>
    <w:rsid w:val="00DC35DE"/>
    <w:rsid w:val="00DC4EA0"/>
    <w:rsid w:val="00DC664B"/>
    <w:rsid w:val="00DC6D7C"/>
    <w:rsid w:val="00DD1D8A"/>
    <w:rsid w:val="00DD5420"/>
    <w:rsid w:val="00DD72A0"/>
    <w:rsid w:val="00DE073B"/>
    <w:rsid w:val="00DE26FB"/>
    <w:rsid w:val="00DE5E77"/>
    <w:rsid w:val="00DF0670"/>
    <w:rsid w:val="00E037A2"/>
    <w:rsid w:val="00E04E8B"/>
    <w:rsid w:val="00E1361F"/>
    <w:rsid w:val="00E13EAA"/>
    <w:rsid w:val="00E171D5"/>
    <w:rsid w:val="00E205FA"/>
    <w:rsid w:val="00E241B3"/>
    <w:rsid w:val="00E26DE5"/>
    <w:rsid w:val="00E26F71"/>
    <w:rsid w:val="00E27192"/>
    <w:rsid w:val="00E341AE"/>
    <w:rsid w:val="00E35500"/>
    <w:rsid w:val="00E368E4"/>
    <w:rsid w:val="00E3690F"/>
    <w:rsid w:val="00E45C0F"/>
    <w:rsid w:val="00E54F42"/>
    <w:rsid w:val="00E56419"/>
    <w:rsid w:val="00E56C23"/>
    <w:rsid w:val="00E62868"/>
    <w:rsid w:val="00E73D86"/>
    <w:rsid w:val="00E74B32"/>
    <w:rsid w:val="00E812BE"/>
    <w:rsid w:val="00E8136E"/>
    <w:rsid w:val="00E82797"/>
    <w:rsid w:val="00E91313"/>
    <w:rsid w:val="00E93C3B"/>
    <w:rsid w:val="00E93D92"/>
    <w:rsid w:val="00E95B38"/>
    <w:rsid w:val="00EA0311"/>
    <w:rsid w:val="00EA2537"/>
    <w:rsid w:val="00EA2C25"/>
    <w:rsid w:val="00EB035E"/>
    <w:rsid w:val="00EB1DCC"/>
    <w:rsid w:val="00EB628A"/>
    <w:rsid w:val="00EB7813"/>
    <w:rsid w:val="00EC04B9"/>
    <w:rsid w:val="00EC05FE"/>
    <w:rsid w:val="00EC127B"/>
    <w:rsid w:val="00EC17F7"/>
    <w:rsid w:val="00EC50E1"/>
    <w:rsid w:val="00EC55AF"/>
    <w:rsid w:val="00ED24AD"/>
    <w:rsid w:val="00ED45A7"/>
    <w:rsid w:val="00ED5501"/>
    <w:rsid w:val="00ED6F29"/>
    <w:rsid w:val="00EE084C"/>
    <w:rsid w:val="00EF2504"/>
    <w:rsid w:val="00EF593A"/>
    <w:rsid w:val="00EF75FF"/>
    <w:rsid w:val="00F024BF"/>
    <w:rsid w:val="00F1182F"/>
    <w:rsid w:val="00F1224D"/>
    <w:rsid w:val="00F14C67"/>
    <w:rsid w:val="00F1532A"/>
    <w:rsid w:val="00F20713"/>
    <w:rsid w:val="00F24BC3"/>
    <w:rsid w:val="00F3085A"/>
    <w:rsid w:val="00F43994"/>
    <w:rsid w:val="00F4549A"/>
    <w:rsid w:val="00F51943"/>
    <w:rsid w:val="00F52C25"/>
    <w:rsid w:val="00F5534F"/>
    <w:rsid w:val="00F553A3"/>
    <w:rsid w:val="00F619B5"/>
    <w:rsid w:val="00F61D2B"/>
    <w:rsid w:val="00F67612"/>
    <w:rsid w:val="00F7088D"/>
    <w:rsid w:val="00F71483"/>
    <w:rsid w:val="00F72E47"/>
    <w:rsid w:val="00F81BC1"/>
    <w:rsid w:val="00F83645"/>
    <w:rsid w:val="00F839BD"/>
    <w:rsid w:val="00F87EE5"/>
    <w:rsid w:val="00F93E32"/>
    <w:rsid w:val="00FA4990"/>
    <w:rsid w:val="00FA49CE"/>
    <w:rsid w:val="00FA6FB4"/>
    <w:rsid w:val="00FA77B4"/>
    <w:rsid w:val="00FB0FCF"/>
    <w:rsid w:val="00FB7D35"/>
    <w:rsid w:val="00FC175A"/>
    <w:rsid w:val="00FC43B3"/>
    <w:rsid w:val="00FC44B5"/>
    <w:rsid w:val="00FD1EE7"/>
    <w:rsid w:val="00FD3651"/>
    <w:rsid w:val="00FD4F04"/>
    <w:rsid w:val="00FE0C57"/>
    <w:rsid w:val="00FE14A4"/>
    <w:rsid w:val="00FE1CD6"/>
    <w:rsid w:val="00FE2886"/>
    <w:rsid w:val="00FE2B75"/>
    <w:rsid w:val="00FE6CFE"/>
    <w:rsid w:val="05F32CE5"/>
    <w:rsid w:val="08E6008C"/>
    <w:rsid w:val="1A772B99"/>
    <w:rsid w:val="1DB44B15"/>
    <w:rsid w:val="1E7F07B9"/>
    <w:rsid w:val="31DF46CF"/>
    <w:rsid w:val="342B443C"/>
    <w:rsid w:val="4A4754D4"/>
    <w:rsid w:val="4CD435FC"/>
    <w:rsid w:val="64176F3D"/>
    <w:rsid w:val="6B285BDD"/>
    <w:rsid w:val="6E293F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5"/>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7"/>
    <w:unhideWhenUsed/>
    <w:qFormat/>
    <w:uiPriority w:val="99"/>
    <w:pPr>
      <w:jc w:val="left"/>
    </w:pPr>
  </w:style>
  <w:style w:type="paragraph" w:styleId="4">
    <w:name w:val="Balloon Text"/>
    <w:basedOn w:val="1"/>
    <w:link w:val="19"/>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8">
    <w:name w:val="annotation subject"/>
    <w:basedOn w:val="3"/>
    <w:next w:val="3"/>
    <w:link w:val="18"/>
    <w:semiHidden/>
    <w:unhideWhenUsed/>
    <w:qFormat/>
    <w:uiPriority w:val="99"/>
    <w:rPr>
      <w:b/>
      <w:bCs/>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annotation reference"/>
    <w:basedOn w:val="11"/>
    <w:semiHidden/>
    <w:unhideWhenUsed/>
    <w:qFormat/>
    <w:uiPriority w:val="99"/>
    <w:rPr>
      <w:sz w:val="21"/>
      <w:szCs w:val="21"/>
    </w:rPr>
  </w:style>
  <w:style w:type="character" w:customStyle="1" w:styleId="13">
    <w:name w:val="页眉 字符"/>
    <w:basedOn w:val="11"/>
    <w:link w:val="6"/>
    <w:qFormat/>
    <w:uiPriority w:val="99"/>
    <w:rPr>
      <w:sz w:val="18"/>
      <w:szCs w:val="18"/>
    </w:rPr>
  </w:style>
  <w:style w:type="character" w:customStyle="1" w:styleId="14">
    <w:name w:val="页脚 字符"/>
    <w:basedOn w:val="11"/>
    <w:link w:val="5"/>
    <w:qFormat/>
    <w:uiPriority w:val="99"/>
    <w:rPr>
      <w:sz w:val="18"/>
      <w:szCs w:val="18"/>
    </w:rPr>
  </w:style>
  <w:style w:type="character" w:customStyle="1" w:styleId="15">
    <w:name w:val="标题 2 字符"/>
    <w:basedOn w:val="11"/>
    <w:link w:val="2"/>
    <w:qFormat/>
    <w:uiPriority w:val="9"/>
    <w:rPr>
      <w:rFonts w:ascii="宋体" w:hAnsi="宋体" w:eastAsia="宋体" w:cs="宋体"/>
      <w:b/>
      <w:bCs/>
      <w:kern w:val="0"/>
      <w:sz w:val="36"/>
      <w:szCs w:val="36"/>
    </w:rPr>
  </w:style>
  <w:style w:type="paragraph" w:styleId="16">
    <w:name w:val="List Paragraph"/>
    <w:basedOn w:val="1"/>
    <w:qFormat/>
    <w:uiPriority w:val="34"/>
    <w:pPr>
      <w:ind w:firstLine="420" w:firstLineChars="200"/>
    </w:pPr>
  </w:style>
  <w:style w:type="character" w:customStyle="1" w:styleId="17">
    <w:name w:val="批注文字 字符"/>
    <w:basedOn w:val="11"/>
    <w:link w:val="3"/>
    <w:qFormat/>
    <w:uiPriority w:val="99"/>
  </w:style>
  <w:style w:type="character" w:customStyle="1" w:styleId="18">
    <w:name w:val="批注主题 字符"/>
    <w:basedOn w:val="17"/>
    <w:link w:val="8"/>
    <w:semiHidden/>
    <w:qFormat/>
    <w:uiPriority w:val="99"/>
    <w:rPr>
      <w:b/>
      <w:bCs/>
    </w:rPr>
  </w:style>
  <w:style w:type="character" w:customStyle="1" w:styleId="19">
    <w:name w:val="批注框文本 字符"/>
    <w:basedOn w:val="11"/>
    <w:link w:val="4"/>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52E33-B877-4656-998E-5CC2C157FAC0}">
  <ds:schemaRefs/>
</ds:datastoreItem>
</file>

<file path=docProps/app.xml><?xml version="1.0" encoding="utf-8"?>
<Properties xmlns="http://schemas.openxmlformats.org/officeDocument/2006/extended-properties" xmlns:vt="http://schemas.openxmlformats.org/officeDocument/2006/docPropsVTypes">
  <Template>Normal</Template>
  <Pages>2</Pages>
  <Words>48</Words>
  <Characters>276</Characters>
  <Lines>2</Lines>
  <Paragraphs>1</Paragraphs>
  <TotalTime>0</TotalTime>
  <ScaleCrop>false</ScaleCrop>
  <LinksUpToDate>false</LinksUpToDate>
  <CharactersWithSpaces>323</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2022-12-20T01:39:00Z</dcterms:created>
  <dc:creator>张佩</dc:creator>
  <cp:lastModifiedBy>jxlc</cp:lastModifiedBy>
  <cp:lastPrinted>2022-09-19T02:47:00Z</cp:lastPrinted>
  <dcterms:modified xsi:type="dcterms:W3CDTF">2025-06-24T06:03:04Z</dcterms:modified>
  <cp:revision>107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69904CE1B9BE42E9A11EB642F1145BC4_13</vt:lpwstr>
  </property>
</Properties>
</file>