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6D41F">
      <w:pPr>
        <w:jc w:val="center"/>
        <w:rPr>
          <w:rFonts w:hint="eastAsia" w:ascii="彩虹小标宋" w:eastAsia="彩虹小标宋"/>
          <w:sz w:val="44"/>
          <w:szCs w:val="44"/>
        </w:rPr>
      </w:pPr>
      <w:r>
        <w:rPr>
          <w:rFonts w:hint="eastAsia" w:ascii="彩虹小标宋" w:eastAsia="彩虹小标宋"/>
          <w:sz w:val="44"/>
          <w:szCs w:val="44"/>
        </w:rPr>
        <w:t>关于</w:t>
      </w:r>
      <w:r>
        <w:rPr>
          <w:rFonts w:ascii="彩虹小标宋" w:eastAsia="彩虹小标宋"/>
          <w:sz w:val="44"/>
          <w:szCs w:val="44"/>
        </w:rPr>
        <w:t>建信理财</w:t>
      </w:r>
      <w:r>
        <w:rPr>
          <w:rFonts w:hint="eastAsia" w:ascii="彩虹小标宋" w:eastAsia="彩虹小标宋"/>
          <w:sz w:val="44"/>
          <w:szCs w:val="44"/>
          <w:lang w:val="en-US" w:eastAsia="zh-CN"/>
        </w:rPr>
        <w:t>部分开放式产品</w:t>
      </w:r>
      <w:r>
        <w:rPr>
          <w:rFonts w:hint="eastAsia" w:ascii="彩虹小标宋" w:eastAsia="彩虹小标宋"/>
          <w:sz w:val="44"/>
          <w:szCs w:val="44"/>
        </w:rPr>
        <w:t>发生</w:t>
      </w:r>
    </w:p>
    <w:p w14:paraId="6C3A1BDB">
      <w:pPr>
        <w:jc w:val="center"/>
        <w:rPr>
          <w:rFonts w:ascii="彩虹小标宋" w:eastAsia="彩虹小标宋"/>
          <w:sz w:val="44"/>
          <w:szCs w:val="44"/>
        </w:rPr>
      </w:pPr>
      <w:r>
        <w:rPr>
          <w:rFonts w:hint="eastAsia" w:ascii="彩虹小标宋" w:eastAsia="彩虹小标宋"/>
          <w:sz w:val="44"/>
          <w:szCs w:val="44"/>
        </w:rPr>
        <w:t>巨额赎回的公告</w:t>
      </w:r>
    </w:p>
    <w:p w14:paraId="5CA9D0BA">
      <w:pPr>
        <w:spacing w:line="560" w:lineRule="exact"/>
        <w:rPr>
          <w:rFonts w:ascii="彩虹粗仿宋" w:eastAsia="彩虹粗仿宋"/>
          <w:sz w:val="32"/>
          <w:szCs w:val="32"/>
        </w:rPr>
      </w:pPr>
    </w:p>
    <w:p w14:paraId="3EC43F6C">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54A7B5D9">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highlight w:val="none"/>
        </w:rPr>
        <w:t>建信理财建信宝按日开放式净值型理财产品第11期</w:t>
      </w:r>
      <w:bookmarkStart w:id="0" w:name="_GoBack"/>
      <w:bookmarkEnd w:id="0"/>
      <w:r>
        <w:rPr>
          <w:rFonts w:hint="eastAsia" w:ascii="彩虹粗仿宋" w:eastAsia="彩虹粗仿宋"/>
          <w:sz w:val="32"/>
          <w:szCs w:val="32"/>
          <w:highlight w:val="none"/>
          <w:lang w:val="en-US" w:eastAsia="zh-CN"/>
        </w:rPr>
        <w:t>等5期产品</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月2</w:t>
      </w:r>
      <w:r>
        <w:rPr>
          <w:rFonts w:hint="eastAsia" w:ascii="彩虹粗仿宋" w:eastAsia="彩虹粗仿宋"/>
          <w:sz w:val="32"/>
          <w:szCs w:val="32"/>
          <w:lang w:val="en-US" w:eastAsia="zh-CN"/>
        </w:rPr>
        <w:t>6</w:t>
      </w:r>
      <w:r>
        <w:rPr>
          <w:rFonts w:ascii="彩虹粗仿宋" w:eastAsia="彩虹粗仿宋"/>
          <w:sz w:val="32"/>
          <w:szCs w:val="32"/>
        </w:rPr>
        <w:t>日</w:t>
      </w:r>
      <w:r>
        <w:rPr>
          <w:rFonts w:hint="eastAsia" w:ascii="彩虹粗仿宋" w:eastAsia="彩虹粗仿宋"/>
          <w:sz w:val="32"/>
          <w:szCs w:val="32"/>
        </w:rPr>
        <w:t>的开放时间内触发巨额赎回，根据说明书的约定，本产品于当日触发巨额赎回条款后，暂停接受投资者赎回申请，并于</w:t>
      </w:r>
      <w:r>
        <w:rPr>
          <w:rFonts w:hint="eastAsia" w:ascii="彩虹粗仿宋" w:eastAsia="彩虹粗仿宋"/>
          <w:sz w:val="32"/>
          <w:szCs w:val="32"/>
          <w:lang w:val="en-US" w:eastAsia="zh-CN"/>
        </w:rPr>
        <w:t>下一开放日的开放时间内</w:t>
      </w:r>
      <w:r>
        <w:rPr>
          <w:rFonts w:hint="eastAsia" w:ascii="彩虹粗仿宋" w:eastAsia="彩虹粗仿宋"/>
          <w:sz w:val="32"/>
          <w:szCs w:val="32"/>
        </w:rPr>
        <w:t>重新接受投资者赎回申请</w:t>
      </w:r>
      <w:r>
        <w:rPr>
          <w:rFonts w:hint="eastAsia" w:ascii="彩虹粗仿宋" w:eastAsia="彩虹粗仿宋"/>
          <w:sz w:val="32"/>
          <w:szCs w:val="32"/>
          <w:lang w:eastAsia="zh-CN"/>
        </w:rPr>
        <w:t>，</w:t>
      </w:r>
      <w:r>
        <w:rPr>
          <w:rFonts w:hint="eastAsia" w:ascii="彩虹粗仿宋" w:eastAsia="彩虹粗仿宋"/>
          <w:sz w:val="32"/>
          <w:szCs w:val="32"/>
          <w:lang w:val="en-US" w:eastAsia="zh-CN"/>
        </w:rPr>
        <w:t>产品明细如下：</w:t>
      </w:r>
    </w:p>
    <w:tbl>
      <w:tblPr>
        <w:tblStyle w:val="5"/>
        <w:tblW w:w="4646"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3465"/>
      </w:tblGrid>
      <w:tr w14:paraId="4AFC8E73">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812" w:type="pct"/>
            <w:tcBorders>
              <w:top w:val="thinThickSmallGap" w:color="auto" w:sz="24" w:space="0"/>
              <w:left w:val="nil"/>
              <w:bottom w:val="single" w:color="auto" w:sz="4" w:space="0"/>
              <w:right w:val="single" w:color="auto" w:sz="4" w:space="0"/>
            </w:tcBorders>
            <w:vAlign w:val="center"/>
          </w:tcPr>
          <w:p w14:paraId="63D7B781">
            <w:pPr>
              <w:snapToGrid w:val="0"/>
              <w:jc w:val="center"/>
              <w:rPr>
                <w:rFonts w:ascii="宋体" w:hAnsi="宋体" w:eastAsia="宋体"/>
                <w:b/>
                <w:szCs w:val="21"/>
              </w:rPr>
            </w:pPr>
            <w:r>
              <w:rPr>
                <w:rFonts w:hint="eastAsia" w:ascii="宋体" w:hAnsi="宋体" w:eastAsia="宋体"/>
                <w:b/>
                <w:szCs w:val="21"/>
              </w:rPr>
              <w:t>产品名称</w:t>
            </w:r>
          </w:p>
        </w:tc>
        <w:tc>
          <w:tcPr>
            <w:tcW w:w="2187" w:type="pct"/>
            <w:tcBorders>
              <w:top w:val="thinThickSmallGap" w:color="auto" w:sz="24" w:space="0"/>
              <w:left w:val="single" w:color="auto" w:sz="4" w:space="0"/>
              <w:bottom w:val="single" w:color="auto" w:sz="4" w:space="0"/>
              <w:right w:val="single" w:color="auto" w:sz="4" w:space="0"/>
            </w:tcBorders>
            <w:vAlign w:val="center"/>
          </w:tcPr>
          <w:p w14:paraId="63632212">
            <w:pPr>
              <w:snapToGrid w:val="0"/>
              <w:jc w:val="both"/>
              <w:rPr>
                <w:rFonts w:ascii="宋体" w:hAnsi="宋体" w:eastAsia="宋体"/>
                <w:b/>
                <w:szCs w:val="21"/>
              </w:rPr>
            </w:pPr>
            <w:r>
              <w:rPr>
                <w:rFonts w:hint="eastAsia" w:ascii="宋体" w:hAnsi="宋体" w:eastAsia="宋体"/>
                <w:b/>
                <w:szCs w:val="21"/>
              </w:rPr>
              <w:t>全国银行业理财信息登记系统编码</w:t>
            </w:r>
          </w:p>
        </w:tc>
      </w:tr>
      <w:tr w14:paraId="54BF3F7E">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12" w:type="pct"/>
            <w:tcBorders>
              <w:top w:val="single" w:color="auto" w:sz="4" w:space="0"/>
              <w:left w:val="nil"/>
              <w:right w:val="single" w:color="auto" w:sz="4" w:space="0"/>
            </w:tcBorders>
            <w:vAlign w:val="center"/>
          </w:tcPr>
          <w:p w14:paraId="7E5CF769">
            <w:pPr>
              <w:keepNext w:val="0"/>
              <w:keepLines w:val="0"/>
              <w:widowControl/>
              <w:suppressLineNumbers w:val="0"/>
              <w:jc w:val="center"/>
              <w:textAlignment w:val="center"/>
              <w:rPr>
                <w:rFonts w:ascii="宋体" w:hAnsi="宋体" w:eastAsia="宋体"/>
                <w:color w:val="000000"/>
                <w:szCs w:val="21"/>
                <w:highlight w:val="none"/>
              </w:rPr>
            </w:pPr>
            <w:r>
              <w:rPr>
                <w:rFonts w:hint="eastAsia" w:ascii="宋体" w:hAnsi="宋体" w:eastAsia="宋体" w:cs="宋体"/>
                <w:i w:val="0"/>
                <w:iCs w:val="0"/>
                <w:color w:val="000000"/>
                <w:kern w:val="0"/>
                <w:sz w:val="18"/>
                <w:szCs w:val="18"/>
                <w:highlight w:val="none"/>
                <w:u w:val="none"/>
                <w:lang w:val="en-US" w:eastAsia="zh-CN" w:bidi="ar"/>
              </w:rPr>
              <w:t>建信理财建信宝按日开放式净值型理财产品第11期</w:t>
            </w:r>
          </w:p>
        </w:tc>
        <w:tc>
          <w:tcPr>
            <w:tcW w:w="2187" w:type="pct"/>
            <w:tcBorders>
              <w:top w:val="single" w:color="auto" w:sz="4" w:space="0"/>
              <w:left w:val="single" w:color="auto" w:sz="4" w:space="0"/>
              <w:right w:val="single" w:color="auto" w:sz="4" w:space="0"/>
            </w:tcBorders>
            <w:vAlign w:val="center"/>
          </w:tcPr>
          <w:p w14:paraId="67FDB3F0">
            <w:pPr>
              <w:keepNext w:val="0"/>
              <w:keepLines w:val="0"/>
              <w:widowControl/>
              <w:suppressLineNumbers w:val="0"/>
              <w:jc w:val="center"/>
              <w:textAlignment w:val="center"/>
              <w:rPr>
                <w:rFonts w:ascii="宋体" w:hAnsi="宋体" w:eastAsia="宋体"/>
                <w:color w:val="000000"/>
                <w:kern w:val="0"/>
                <w:szCs w:val="21"/>
                <w:highlight w:val="none"/>
              </w:rPr>
            </w:pPr>
            <w:r>
              <w:rPr>
                <w:rFonts w:hint="eastAsia" w:ascii="宋体" w:hAnsi="宋体" w:eastAsia="宋体"/>
                <w:color w:val="000000"/>
                <w:kern w:val="0"/>
                <w:sz w:val="18"/>
                <w:szCs w:val="18"/>
                <w:highlight w:val="none"/>
              </w:rPr>
              <w:t>Z7000723000533</w:t>
            </w:r>
          </w:p>
        </w:tc>
      </w:tr>
      <w:tr w14:paraId="5024E4CC">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12" w:type="pct"/>
            <w:tcBorders>
              <w:left w:val="nil"/>
              <w:right w:val="single" w:color="auto" w:sz="4" w:space="0"/>
            </w:tcBorders>
            <w:vAlign w:val="center"/>
          </w:tcPr>
          <w:p w14:paraId="567FCCEF">
            <w:pPr>
              <w:keepNext w:val="0"/>
              <w:keepLines w:val="0"/>
              <w:widowControl/>
              <w:suppressLineNumbers w:val="0"/>
              <w:jc w:val="center"/>
              <w:textAlignment w:val="center"/>
              <w:rPr>
                <w:rFonts w:hint="eastAsia" w:ascii="宋体" w:hAnsi="宋体" w:eastAsia="宋体"/>
                <w:color w:val="000000"/>
                <w:szCs w:val="21"/>
                <w:highlight w:val="none"/>
              </w:rPr>
            </w:pPr>
            <w:r>
              <w:rPr>
                <w:rFonts w:hint="eastAsia" w:ascii="宋体" w:hAnsi="宋体" w:eastAsia="宋体" w:cs="宋体"/>
                <w:i w:val="0"/>
                <w:iCs w:val="0"/>
                <w:color w:val="000000"/>
                <w:kern w:val="0"/>
                <w:sz w:val="18"/>
                <w:szCs w:val="18"/>
                <w:highlight w:val="none"/>
                <w:u w:val="none"/>
                <w:lang w:val="en-US" w:eastAsia="zh-CN" w:bidi="ar"/>
              </w:rPr>
              <w:t>建信理财建信宝按日开放式净值型理财产品第20期</w:t>
            </w:r>
          </w:p>
        </w:tc>
        <w:tc>
          <w:tcPr>
            <w:tcW w:w="2187" w:type="pct"/>
            <w:tcBorders>
              <w:left w:val="single" w:color="auto" w:sz="4" w:space="0"/>
              <w:right w:val="single" w:color="auto" w:sz="4" w:space="0"/>
            </w:tcBorders>
            <w:vAlign w:val="center"/>
          </w:tcPr>
          <w:p w14:paraId="2F86C6F1">
            <w:pPr>
              <w:keepNext w:val="0"/>
              <w:keepLines w:val="0"/>
              <w:widowControl/>
              <w:suppressLineNumbers w:val="0"/>
              <w:jc w:val="center"/>
              <w:textAlignment w:val="center"/>
              <w:rPr>
                <w:rFonts w:hint="eastAsia" w:ascii="宋体" w:hAnsi="宋体" w:eastAsia="宋体"/>
                <w:color w:val="000000"/>
                <w:kern w:val="0"/>
                <w:szCs w:val="21"/>
                <w:highlight w:val="none"/>
              </w:rPr>
            </w:pPr>
            <w:r>
              <w:rPr>
                <w:rFonts w:hint="eastAsia" w:ascii="宋体" w:hAnsi="宋体" w:eastAsia="宋体" w:cs="宋体"/>
                <w:i w:val="0"/>
                <w:iCs w:val="0"/>
                <w:color w:val="000000"/>
                <w:kern w:val="0"/>
                <w:sz w:val="18"/>
                <w:szCs w:val="18"/>
                <w:highlight w:val="none"/>
                <w:u w:val="none"/>
                <w:lang w:val="en-US" w:eastAsia="zh-CN" w:bidi="ar"/>
              </w:rPr>
              <w:t>Z7000724001011</w:t>
            </w:r>
          </w:p>
        </w:tc>
      </w:tr>
      <w:tr w14:paraId="658E1C73">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12" w:type="pct"/>
            <w:tcBorders>
              <w:left w:val="nil"/>
              <w:right w:val="single" w:color="auto" w:sz="4" w:space="0"/>
            </w:tcBorders>
            <w:vAlign w:val="center"/>
          </w:tcPr>
          <w:p w14:paraId="4E4D32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建信理财龙宝按日开放式净值型理财产品4号</w:t>
            </w:r>
          </w:p>
        </w:tc>
        <w:tc>
          <w:tcPr>
            <w:tcW w:w="2187" w:type="pct"/>
            <w:tcBorders>
              <w:left w:val="single" w:color="auto" w:sz="4" w:space="0"/>
              <w:right w:val="single" w:color="auto" w:sz="4" w:space="0"/>
            </w:tcBorders>
            <w:vAlign w:val="center"/>
          </w:tcPr>
          <w:p w14:paraId="03F5F7B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Z7000724001008</w:t>
            </w:r>
          </w:p>
        </w:tc>
      </w:tr>
      <w:tr w14:paraId="1100BE30">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12" w:type="pct"/>
            <w:tcBorders>
              <w:left w:val="nil"/>
              <w:right w:val="single" w:color="auto" w:sz="4" w:space="0"/>
            </w:tcBorders>
            <w:vAlign w:val="center"/>
          </w:tcPr>
          <w:p w14:paraId="384EAE5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建信理财龙宝按日开放式净值型理财产品5号</w:t>
            </w:r>
          </w:p>
        </w:tc>
        <w:tc>
          <w:tcPr>
            <w:tcW w:w="2187" w:type="pct"/>
            <w:tcBorders>
              <w:left w:val="single" w:color="auto" w:sz="4" w:space="0"/>
              <w:right w:val="single" w:color="auto" w:sz="4" w:space="0"/>
            </w:tcBorders>
            <w:vAlign w:val="center"/>
          </w:tcPr>
          <w:p w14:paraId="1EA8F24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Z7000724001009</w:t>
            </w:r>
          </w:p>
        </w:tc>
      </w:tr>
      <w:tr w14:paraId="4D838C4E">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12" w:type="pct"/>
            <w:tcBorders>
              <w:left w:val="nil"/>
              <w:bottom w:val="single" w:color="auto" w:sz="4" w:space="0"/>
              <w:right w:val="single" w:color="auto" w:sz="4" w:space="0"/>
            </w:tcBorders>
            <w:vAlign w:val="center"/>
          </w:tcPr>
          <w:p w14:paraId="4B1C563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建信理财嘉鑫（稳利）按日开放式产品第8期</w:t>
            </w:r>
          </w:p>
        </w:tc>
        <w:tc>
          <w:tcPr>
            <w:tcW w:w="2187" w:type="pct"/>
            <w:tcBorders>
              <w:left w:val="single" w:color="auto" w:sz="4" w:space="0"/>
              <w:bottom w:val="single" w:color="auto" w:sz="4" w:space="0"/>
              <w:right w:val="single" w:color="auto" w:sz="4" w:space="0"/>
            </w:tcBorders>
            <w:vAlign w:val="center"/>
          </w:tcPr>
          <w:p w14:paraId="7EB301D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Z7000724001025</w:t>
            </w:r>
          </w:p>
        </w:tc>
      </w:tr>
    </w:tbl>
    <w:p w14:paraId="74797F86">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129AA2A7">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34DDADAD">
      <w:pPr>
        <w:spacing w:line="560" w:lineRule="exact"/>
        <w:ind w:firstLine="640" w:firstLineChars="200"/>
        <w:rPr>
          <w:rFonts w:ascii="彩虹粗仿宋" w:eastAsia="彩虹粗仿宋"/>
          <w:sz w:val="32"/>
          <w:szCs w:val="32"/>
        </w:rPr>
      </w:pPr>
    </w:p>
    <w:p w14:paraId="12AF2A25">
      <w:pPr>
        <w:spacing w:line="560" w:lineRule="exact"/>
        <w:ind w:firstLine="640" w:firstLineChars="200"/>
        <w:rPr>
          <w:rFonts w:ascii="彩虹粗仿宋" w:eastAsia="彩虹粗仿宋"/>
          <w:sz w:val="32"/>
          <w:szCs w:val="32"/>
        </w:rPr>
      </w:pPr>
    </w:p>
    <w:p w14:paraId="703F382D">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39659531">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30</w:t>
      </w:r>
      <w:r>
        <w:rPr>
          <w:rFonts w:ascii="彩虹粗仿宋" w:eastAsia="彩虹粗仿宋"/>
          <w:sz w:val="32"/>
          <w:szCs w:val="32"/>
        </w:rPr>
        <w:t>日</w:t>
      </w:r>
    </w:p>
    <w:p w14:paraId="24DE9494">
      <w:pPr>
        <w:keepNext w:val="0"/>
        <w:keepLines w:val="0"/>
        <w:pageBreakBefore w:val="0"/>
        <w:widowControl w:val="0"/>
        <w:kinsoku/>
        <w:wordWrap/>
        <w:overflowPunct/>
        <w:topLinePunct w:val="0"/>
        <w:autoSpaceDE/>
        <w:autoSpaceDN/>
        <w:bidi w:val="0"/>
        <w:adjustRightInd/>
        <w:snapToGrid/>
        <w:spacing w:line="20" w:lineRule="exact"/>
        <w:textAlignment w:val="auto"/>
        <w:rPr>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326FE7"/>
    <w:rsid w:val="003C5294"/>
    <w:rsid w:val="003D7CFA"/>
    <w:rsid w:val="004C0C5D"/>
    <w:rsid w:val="00505B5C"/>
    <w:rsid w:val="00586B28"/>
    <w:rsid w:val="00652CCE"/>
    <w:rsid w:val="006674CF"/>
    <w:rsid w:val="0068278D"/>
    <w:rsid w:val="00712F72"/>
    <w:rsid w:val="00714CE5"/>
    <w:rsid w:val="0076079D"/>
    <w:rsid w:val="00792813"/>
    <w:rsid w:val="007C0139"/>
    <w:rsid w:val="007C33BC"/>
    <w:rsid w:val="008852F8"/>
    <w:rsid w:val="008B2407"/>
    <w:rsid w:val="00905D50"/>
    <w:rsid w:val="00AD7EA8"/>
    <w:rsid w:val="00B8546A"/>
    <w:rsid w:val="00C32C3F"/>
    <w:rsid w:val="00C406D4"/>
    <w:rsid w:val="00D156A8"/>
    <w:rsid w:val="00D74827"/>
    <w:rsid w:val="00D806D9"/>
    <w:rsid w:val="00DD228E"/>
    <w:rsid w:val="00E065B2"/>
    <w:rsid w:val="00EC5809"/>
    <w:rsid w:val="00F31745"/>
    <w:rsid w:val="00F84E49"/>
    <w:rsid w:val="01D42F86"/>
    <w:rsid w:val="04176C96"/>
    <w:rsid w:val="16B965DF"/>
    <w:rsid w:val="1CB23E4B"/>
    <w:rsid w:val="22292C04"/>
    <w:rsid w:val="24024024"/>
    <w:rsid w:val="25671100"/>
    <w:rsid w:val="2667580E"/>
    <w:rsid w:val="26B24802"/>
    <w:rsid w:val="2913215B"/>
    <w:rsid w:val="2C290A29"/>
    <w:rsid w:val="2CFD11D6"/>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B4763C5"/>
    <w:rsid w:val="6BD10DF5"/>
    <w:rsid w:val="6D562E17"/>
    <w:rsid w:val="6F697559"/>
    <w:rsid w:val="70506DBA"/>
    <w:rsid w:val="780C0336"/>
    <w:rsid w:val="7A1274CC"/>
    <w:rsid w:val="7AFF2398"/>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109E-C35F-4C5A-B153-6F8B833D1670}">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257</Characters>
  <Lines>2</Lines>
  <Paragraphs>1</Paragraphs>
  <TotalTime>19</TotalTime>
  <ScaleCrop>false</ScaleCrop>
  <LinksUpToDate>false</LinksUpToDate>
  <CharactersWithSpaces>300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2025-06-30T08:00:58Z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AB08C4B7A7B64692897CF81F35F5DD45_13</vt:lpwstr>
  </property>
</Properties>
</file>