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60" w:lineRule="atLeast"/>
        <w:jc w:val="center"/>
        <w:rPr>
          <w:rFonts w:ascii="宋体" w:hAnsi="宋体" w:eastAsia="宋体" w:cs="Arial"/>
          <w:b/>
          <w:color w:val="000000"/>
          <w:kern w:val="0"/>
          <w:szCs w:val="21"/>
        </w:rPr>
      </w:pPr>
      <w:bookmarkStart w:id="0" w:name="_GoBack"/>
      <w:r>
        <w:rPr>
          <w:rFonts w:hint="eastAsia" w:ascii="宋体" w:hAnsi="宋体" w:eastAsia="宋体" w:cs="Arial"/>
          <w:b/>
          <w:color w:val="000000"/>
          <w:kern w:val="0"/>
          <w:szCs w:val="21"/>
        </w:rPr>
        <w:t>关于建信理财建信宝按日开放式净值型理财产品第15期管理费率</w:t>
      </w:r>
      <w:r>
        <w:rPr>
          <w:rFonts w:hint="eastAsia" w:ascii="宋体" w:hAnsi="宋体" w:eastAsia="宋体" w:cs="Arial"/>
          <w:b/>
          <w:color w:val="000000"/>
          <w:kern w:val="0"/>
          <w:szCs w:val="21"/>
          <w:lang w:val="en-US" w:eastAsia="zh-CN"/>
        </w:rPr>
        <w:t>调整</w:t>
      </w:r>
      <w:r>
        <w:rPr>
          <w:rFonts w:hint="eastAsia" w:ascii="宋体" w:hAnsi="宋体" w:eastAsia="宋体" w:cs="Arial"/>
          <w:b/>
          <w:color w:val="000000"/>
          <w:kern w:val="0"/>
          <w:szCs w:val="21"/>
        </w:rPr>
        <w:t>的公告</w:t>
      </w:r>
    </w:p>
    <w:bookmarkEnd w:id="0"/>
    <w:p>
      <w:pPr>
        <w:pStyle w:val="2"/>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pPr>
        <w:pStyle w:val="2"/>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为更好地为客户提供投资理财服务，建信理财有限责任公司拟对建信理财建信宝按日开放式净值型理财产品第15期进行管理费率</w:t>
      </w:r>
      <w:r>
        <w:rPr>
          <w:rFonts w:hint="eastAsia" w:cs="Arial"/>
          <w:color w:val="000000"/>
          <w:sz w:val="21"/>
          <w:szCs w:val="21"/>
          <w:lang w:val="en-US" w:eastAsia="zh-CN"/>
        </w:rPr>
        <w:t>调整</w:t>
      </w:r>
      <w:r>
        <w:rPr>
          <w:rFonts w:hint="eastAsia" w:cs="Arial"/>
          <w:color w:val="000000"/>
          <w:sz w:val="21"/>
          <w:szCs w:val="21"/>
        </w:rPr>
        <w:t>，具体内容如下：</w:t>
      </w:r>
    </w:p>
    <w:tbl>
      <w:tblPr>
        <w:tblStyle w:val="3"/>
        <w:tblW w:w="4523"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135"/>
        <w:gridCol w:w="2187"/>
        <w:gridCol w:w="1900"/>
        <w:gridCol w:w="2717"/>
        <w:gridCol w:w="288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00" w:hRule="atLeast"/>
          <w:tblHeader/>
          <w:jc w:val="center"/>
        </w:trPr>
        <w:tc>
          <w:tcPr>
            <w:tcW w:w="3135" w:type="dxa"/>
            <w:vMerge w:val="restart"/>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2187" w:type="dxa"/>
            <w:vMerge w:val="restart"/>
            <w:vAlign w:val="center"/>
          </w:tcPr>
          <w:p>
            <w:pPr>
              <w:widowControl/>
              <w:jc w:val="center"/>
              <w:textAlignment w:val="center"/>
              <w:rPr>
                <w:rFonts w:ascii="宋体" w:hAnsi="宋体" w:eastAsia="宋体" w:cs="宋体"/>
                <w:color w:val="000000"/>
                <w:kern w:val="0"/>
                <w:sz w:val="18"/>
                <w:szCs w:val="18"/>
                <w:lang w:bidi="ar"/>
              </w:rPr>
            </w:pPr>
            <w:r>
              <w:rPr>
                <w:rStyle w:val="5"/>
                <w:rFonts w:hint="eastAsia" w:ascii="宋体" w:hAnsi="宋体" w:eastAsia="宋体" w:cs="Arial"/>
                <w:color w:val="000000"/>
                <w:sz w:val="18"/>
                <w:szCs w:val="18"/>
              </w:rPr>
              <w:t>全国银行业理财信息登记系统编号</w:t>
            </w:r>
          </w:p>
        </w:tc>
        <w:tc>
          <w:tcPr>
            <w:tcW w:w="1900" w:type="dxa"/>
            <w:vMerge w:val="restart"/>
            <w:vAlign w:val="center"/>
          </w:tcPr>
          <w:p>
            <w:pPr>
              <w:pStyle w:val="2"/>
              <w:snapToGrid w:val="0"/>
              <w:jc w:val="center"/>
              <w:rPr>
                <w:rFonts w:cs="Arial"/>
                <w:color w:val="666666"/>
                <w:sz w:val="18"/>
                <w:szCs w:val="18"/>
              </w:rPr>
            </w:pPr>
            <w:r>
              <w:rPr>
                <w:rStyle w:val="5"/>
                <w:rFonts w:hint="eastAsia" w:cs="Arial"/>
                <w:color w:val="000000"/>
                <w:sz w:val="18"/>
                <w:szCs w:val="18"/>
                <w:lang w:val="en-US" w:eastAsia="zh-CN"/>
              </w:rPr>
              <w:t>调整</w:t>
            </w:r>
            <w:r>
              <w:rPr>
                <w:rStyle w:val="5"/>
                <w:rFonts w:hint="eastAsia" w:cs="Arial"/>
                <w:color w:val="000000"/>
                <w:sz w:val="18"/>
                <w:szCs w:val="18"/>
              </w:rPr>
              <w:t>起始日（含）</w:t>
            </w:r>
          </w:p>
        </w:tc>
        <w:tc>
          <w:tcPr>
            <w:tcW w:w="5600" w:type="dxa"/>
            <w:gridSpan w:val="2"/>
            <w:vAlign w:val="center"/>
          </w:tcPr>
          <w:p>
            <w:pPr>
              <w:pStyle w:val="2"/>
              <w:snapToGrid w:val="0"/>
              <w:jc w:val="center"/>
              <w:rPr>
                <w:rStyle w:val="5"/>
                <w:color w:val="000000"/>
                <w:sz w:val="18"/>
                <w:szCs w:val="18"/>
              </w:rPr>
            </w:pPr>
            <w:r>
              <w:rPr>
                <w:rStyle w:val="5"/>
                <w:rFonts w:hint="eastAsia" w:cs="Arial"/>
                <w:color w:val="000000"/>
                <w:sz w:val="18"/>
                <w:szCs w:val="18"/>
              </w:rPr>
              <w:t>管理费率（年化）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3135" w:type="dxa"/>
            <w:vMerge w:val="continue"/>
            <w:vAlign w:val="center"/>
          </w:tcPr>
          <w:p>
            <w:pPr>
              <w:widowControl/>
              <w:jc w:val="center"/>
              <w:rPr>
                <w:rFonts w:ascii="宋体" w:hAnsi="宋体" w:eastAsia="宋体" w:cs="宋体"/>
                <w:color w:val="000000"/>
                <w:kern w:val="0"/>
                <w:sz w:val="18"/>
                <w:szCs w:val="18"/>
                <w:lang w:bidi="ar"/>
              </w:rPr>
            </w:pPr>
          </w:p>
        </w:tc>
        <w:tc>
          <w:tcPr>
            <w:tcW w:w="2187" w:type="dxa"/>
            <w:vMerge w:val="continue"/>
            <w:vAlign w:val="center"/>
          </w:tcPr>
          <w:p>
            <w:pPr>
              <w:widowControl/>
              <w:jc w:val="center"/>
              <w:rPr>
                <w:rFonts w:ascii="宋体" w:hAnsi="宋体" w:eastAsia="宋体" w:cs="宋体"/>
                <w:color w:val="000000"/>
                <w:kern w:val="0"/>
                <w:sz w:val="18"/>
                <w:szCs w:val="18"/>
                <w:lang w:bidi="ar"/>
              </w:rPr>
            </w:pPr>
          </w:p>
        </w:tc>
        <w:tc>
          <w:tcPr>
            <w:tcW w:w="1900" w:type="dxa"/>
            <w:vMerge w:val="continue"/>
            <w:vAlign w:val="center"/>
          </w:tcPr>
          <w:p>
            <w:pPr>
              <w:widowControl/>
              <w:jc w:val="center"/>
              <w:rPr>
                <w:rFonts w:ascii="宋体" w:hAnsi="宋体" w:eastAsia="宋体" w:cs="Arial"/>
                <w:color w:val="666666"/>
                <w:kern w:val="0"/>
                <w:sz w:val="18"/>
                <w:szCs w:val="18"/>
              </w:rPr>
            </w:pPr>
          </w:p>
        </w:tc>
        <w:tc>
          <w:tcPr>
            <w:tcW w:w="2717" w:type="dxa"/>
            <w:vAlign w:val="center"/>
          </w:tcPr>
          <w:p>
            <w:pPr>
              <w:pStyle w:val="2"/>
              <w:snapToGrid w:val="0"/>
              <w:jc w:val="center"/>
              <w:rPr>
                <w:rStyle w:val="5"/>
                <w:rFonts w:cs="Arial"/>
                <w:color w:val="000000"/>
                <w:sz w:val="18"/>
                <w:szCs w:val="18"/>
              </w:rPr>
            </w:pPr>
            <w:r>
              <w:rPr>
                <w:rStyle w:val="5"/>
                <w:rFonts w:hint="eastAsia" w:cs="Arial"/>
                <w:color w:val="000000"/>
                <w:sz w:val="18"/>
                <w:szCs w:val="18"/>
                <w:lang w:val="en-US" w:eastAsia="zh-CN"/>
              </w:rPr>
              <w:t>调整</w:t>
            </w:r>
            <w:r>
              <w:rPr>
                <w:rStyle w:val="5"/>
                <w:rFonts w:hint="eastAsia" w:cs="Arial"/>
                <w:color w:val="000000"/>
                <w:sz w:val="18"/>
                <w:szCs w:val="18"/>
              </w:rPr>
              <w:t>前</w:t>
            </w:r>
          </w:p>
        </w:tc>
        <w:tc>
          <w:tcPr>
            <w:tcW w:w="2883" w:type="dxa"/>
            <w:vAlign w:val="center"/>
          </w:tcPr>
          <w:p>
            <w:pPr>
              <w:pStyle w:val="2"/>
              <w:snapToGrid w:val="0"/>
              <w:jc w:val="center"/>
              <w:rPr>
                <w:rStyle w:val="5"/>
                <w:rFonts w:cs="Arial"/>
                <w:color w:val="000000"/>
                <w:sz w:val="18"/>
                <w:szCs w:val="18"/>
              </w:rPr>
            </w:pPr>
            <w:r>
              <w:rPr>
                <w:rStyle w:val="5"/>
                <w:rFonts w:hint="eastAsia" w:cs="Arial"/>
                <w:color w:val="000000"/>
                <w:sz w:val="18"/>
                <w:szCs w:val="18"/>
                <w:lang w:val="en-US" w:eastAsia="zh-CN"/>
              </w:rPr>
              <w:t>调整</w:t>
            </w:r>
            <w:r>
              <w:rPr>
                <w:rStyle w:val="5"/>
                <w:rFonts w:hint="eastAsia" w:cs="Arial"/>
                <w:color w:val="000000"/>
                <w:sz w:val="18"/>
                <w:szCs w:val="18"/>
              </w:rPr>
              <w:t>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40" w:hRule="atLeast"/>
          <w:jc w:val="center"/>
        </w:trPr>
        <w:tc>
          <w:tcPr>
            <w:tcW w:w="3135" w:type="dxa"/>
            <w:vAlign w:val="center"/>
          </w:tcPr>
          <w:p>
            <w:pPr>
              <w:jc w:val="center"/>
              <w:rPr>
                <w:rFonts w:hint="eastAsia" w:ascii="宋体" w:hAnsi="宋体" w:eastAsia="宋体"/>
                <w:sz w:val="18"/>
                <w:szCs w:val="18"/>
              </w:rPr>
            </w:pPr>
            <w:r>
              <w:rPr>
                <w:rFonts w:hint="eastAsia" w:ascii="宋体" w:hAnsi="宋体" w:eastAsia="宋体"/>
                <w:sz w:val="18"/>
                <w:szCs w:val="18"/>
                <w:lang w:val="en-US" w:eastAsia="zh-CN"/>
              </w:rPr>
              <w:t>建信理财建信宝按日开放式净值型理财产品第15期</w:t>
            </w:r>
          </w:p>
        </w:tc>
        <w:tc>
          <w:tcPr>
            <w:tcW w:w="2187"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Z7000723000494</w:t>
            </w:r>
          </w:p>
        </w:tc>
        <w:tc>
          <w:tcPr>
            <w:tcW w:w="1900" w:type="dxa"/>
            <w:vAlign w:val="center"/>
          </w:tcPr>
          <w:p>
            <w:pPr>
              <w:jc w:val="center"/>
              <w:rPr>
                <w:rFonts w:hint="eastAsia" w:ascii="宋体" w:hAnsi="宋体" w:eastAsia="宋体"/>
                <w:sz w:val="18"/>
                <w:szCs w:val="18"/>
              </w:rPr>
            </w:pPr>
            <w:r>
              <w:rPr>
                <w:rFonts w:hint="eastAsia" w:ascii="宋体" w:hAnsi="宋体" w:eastAsia="宋体"/>
                <w:sz w:val="18"/>
                <w:szCs w:val="18"/>
              </w:rPr>
              <w:t>2025年7月</w:t>
            </w:r>
            <w:r>
              <w:rPr>
                <w:rFonts w:hint="eastAsia" w:ascii="宋体" w:hAnsi="宋体" w:eastAsia="宋体"/>
                <w:sz w:val="18"/>
                <w:szCs w:val="18"/>
                <w:lang w:val="en-US" w:eastAsia="zh-CN"/>
              </w:rPr>
              <w:t>24</w:t>
            </w:r>
            <w:r>
              <w:rPr>
                <w:rFonts w:hint="eastAsia" w:ascii="宋体" w:hAnsi="宋体" w:eastAsia="宋体"/>
                <w:sz w:val="18"/>
                <w:szCs w:val="18"/>
              </w:rPr>
              <w:t>日</w:t>
            </w:r>
          </w:p>
        </w:tc>
        <w:tc>
          <w:tcPr>
            <w:tcW w:w="2717" w:type="dxa"/>
            <w:vAlign w:val="center"/>
          </w:tcPr>
          <w:p>
            <w:pPr>
              <w:jc w:val="center"/>
              <w:rPr>
                <w:rFonts w:hint="eastAsia" w:ascii="宋体" w:hAnsi="宋体" w:eastAsia="宋体"/>
                <w:sz w:val="18"/>
                <w:szCs w:val="18"/>
              </w:rPr>
            </w:pPr>
            <w:r>
              <w:rPr>
                <w:rFonts w:hint="eastAsia" w:ascii="宋体" w:hAnsi="宋体" w:eastAsia="宋体"/>
                <w:sz w:val="18"/>
                <w:szCs w:val="18"/>
              </w:rPr>
              <w:t>0.</w:t>
            </w:r>
            <w:r>
              <w:rPr>
                <w:rFonts w:hint="eastAsia" w:ascii="宋体" w:hAnsi="宋体" w:eastAsia="宋体"/>
                <w:sz w:val="18"/>
                <w:szCs w:val="18"/>
                <w:lang w:val="en-US" w:eastAsia="zh-CN"/>
              </w:rPr>
              <w:t>2</w:t>
            </w:r>
            <w:r>
              <w:rPr>
                <w:rFonts w:hint="eastAsia" w:ascii="宋体" w:hAnsi="宋体" w:eastAsia="宋体"/>
                <w:sz w:val="18"/>
                <w:szCs w:val="18"/>
              </w:rPr>
              <w:t>0%</w:t>
            </w:r>
          </w:p>
        </w:tc>
        <w:tc>
          <w:tcPr>
            <w:tcW w:w="2883" w:type="dxa"/>
            <w:vAlign w:val="center"/>
          </w:tcPr>
          <w:p>
            <w:pPr>
              <w:jc w:val="center"/>
              <w:rPr>
                <w:rFonts w:hint="eastAsia" w:ascii="宋体" w:hAnsi="宋体" w:eastAsia="宋体"/>
                <w:sz w:val="18"/>
                <w:szCs w:val="18"/>
              </w:rPr>
            </w:pPr>
            <w:r>
              <w:rPr>
                <w:rFonts w:hint="eastAsia" w:ascii="宋体" w:hAnsi="宋体" w:eastAsia="宋体"/>
                <w:sz w:val="18"/>
                <w:szCs w:val="18"/>
              </w:rPr>
              <w:t>0.</w:t>
            </w:r>
            <w:r>
              <w:rPr>
                <w:rFonts w:hint="eastAsia" w:ascii="宋体" w:hAnsi="宋体" w:eastAsia="宋体"/>
                <w:sz w:val="18"/>
                <w:szCs w:val="18"/>
                <w:lang w:val="en-US" w:eastAsia="zh-CN"/>
              </w:rPr>
              <w:t>1</w:t>
            </w:r>
            <w:r>
              <w:rPr>
                <w:rFonts w:hint="eastAsia" w:ascii="宋体" w:hAnsi="宋体" w:eastAsia="宋体"/>
                <w:sz w:val="18"/>
                <w:szCs w:val="18"/>
              </w:rPr>
              <w:t>5%</w:t>
            </w:r>
          </w:p>
        </w:tc>
      </w:tr>
    </w:tbl>
    <w:p>
      <w:pPr>
        <w:pStyle w:val="2"/>
        <w:spacing w:line="460" w:lineRule="atLeast"/>
        <w:ind w:firstLine="420"/>
        <w:rPr>
          <w:rFonts w:ascii="微软雅黑" w:hAnsi="微软雅黑" w:eastAsia="微软雅黑" w:cs="Arial"/>
          <w:color w:val="666666"/>
          <w:sz w:val="21"/>
          <w:szCs w:val="21"/>
        </w:rPr>
      </w:pPr>
      <w:r>
        <w:rPr>
          <w:rFonts w:hint="eastAsia" w:cs="Arial"/>
          <w:color w:val="000000"/>
          <w:sz w:val="21"/>
          <w:szCs w:val="21"/>
        </w:rPr>
        <w:t>本公告未提及事宜，按原产品说明书和风险揭示书的约定执行。</w:t>
      </w:r>
    </w:p>
    <w:p>
      <w:pPr>
        <w:pStyle w:val="2"/>
        <w:snapToGrid w:val="0"/>
        <w:spacing w:line="460" w:lineRule="atLeast"/>
        <w:ind w:firstLine="420"/>
        <w:rPr>
          <w:rFonts w:cs="Arial"/>
          <w:color w:val="000000"/>
          <w:sz w:val="21"/>
          <w:szCs w:val="21"/>
        </w:rPr>
      </w:pPr>
      <w:r>
        <w:rPr>
          <w:rFonts w:hint="eastAsia" w:cs="Arial"/>
          <w:color w:val="000000"/>
          <w:sz w:val="21"/>
          <w:szCs w:val="21"/>
        </w:rPr>
        <w:t>特此公告。</w:t>
      </w:r>
    </w:p>
    <w:p>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pPr>
        <w:pStyle w:val="2"/>
        <w:snapToGrid w:val="0"/>
        <w:spacing w:before="0" w:beforeAutospacing="0" w:after="0" w:afterAutospacing="0" w:line="460" w:lineRule="atLeast"/>
        <w:ind w:right="210" w:firstLine="420"/>
        <w:jc w:val="right"/>
      </w:pPr>
      <w:r>
        <w:rPr>
          <w:rFonts w:hint="eastAsia" w:cs="Arial" w:asciiTheme="minorEastAsia" w:hAnsiTheme="minorEastAsia" w:eastAsiaTheme="minorEastAsia"/>
          <w:color w:val="000000"/>
          <w:sz w:val="21"/>
          <w:szCs w:val="21"/>
        </w:rPr>
        <w:t>2025年7月</w:t>
      </w:r>
      <w:r>
        <w:rPr>
          <w:rFonts w:hint="eastAsia" w:cs="Arial" w:asciiTheme="minorEastAsia" w:hAnsiTheme="minorEastAsia" w:eastAsiaTheme="minorEastAsia"/>
          <w:color w:val="000000"/>
          <w:sz w:val="21"/>
          <w:szCs w:val="21"/>
          <w:lang w:val="en-US" w:eastAsia="zh-CN"/>
        </w:rPr>
        <w:t>22</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003EC5"/>
    <w:rsid w:val="000F6C04"/>
    <w:rsid w:val="00114E40"/>
    <w:rsid w:val="00135979"/>
    <w:rsid w:val="001B0C58"/>
    <w:rsid w:val="001E2938"/>
    <w:rsid w:val="00217ED6"/>
    <w:rsid w:val="002344A6"/>
    <w:rsid w:val="002A3BE5"/>
    <w:rsid w:val="00310B54"/>
    <w:rsid w:val="00344135"/>
    <w:rsid w:val="004A20A1"/>
    <w:rsid w:val="004D654B"/>
    <w:rsid w:val="005C31AE"/>
    <w:rsid w:val="0060026F"/>
    <w:rsid w:val="00683112"/>
    <w:rsid w:val="00692A04"/>
    <w:rsid w:val="006E7216"/>
    <w:rsid w:val="00791BD4"/>
    <w:rsid w:val="00865D12"/>
    <w:rsid w:val="00A67EB8"/>
    <w:rsid w:val="00AC58EF"/>
    <w:rsid w:val="00AF1E88"/>
    <w:rsid w:val="00AF743D"/>
    <w:rsid w:val="00B42799"/>
    <w:rsid w:val="00C2795A"/>
    <w:rsid w:val="00D221A5"/>
    <w:rsid w:val="00D52E09"/>
    <w:rsid w:val="00D97898"/>
    <w:rsid w:val="00DD08A2"/>
    <w:rsid w:val="00E42D41"/>
    <w:rsid w:val="00EF7FFE"/>
    <w:rsid w:val="00F2216C"/>
    <w:rsid w:val="00F344CF"/>
    <w:rsid w:val="00F7544E"/>
    <w:rsid w:val="01630F53"/>
    <w:rsid w:val="02463876"/>
    <w:rsid w:val="04AA26ED"/>
    <w:rsid w:val="063B1146"/>
    <w:rsid w:val="0EF33893"/>
    <w:rsid w:val="10EB4B54"/>
    <w:rsid w:val="1CE407F6"/>
    <w:rsid w:val="1E703800"/>
    <w:rsid w:val="22F8694F"/>
    <w:rsid w:val="27AD03A5"/>
    <w:rsid w:val="298F1E12"/>
    <w:rsid w:val="2A762DB6"/>
    <w:rsid w:val="2C7A1CCF"/>
    <w:rsid w:val="3271734E"/>
    <w:rsid w:val="3535115B"/>
    <w:rsid w:val="35352A53"/>
    <w:rsid w:val="35A35F0C"/>
    <w:rsid w:val="35D36382"/>
    <w:rsid w:val="3AD67D89"/>
    <w:rsid w:val="42C46384"/>
    <w:rsid w:val="42F13F28"/>
    <w:rsid w:val="432937C0"/>
    <w:rsid w:val="4E5A1A99"/>
    <w:rsid w:val="508E21DE"/>
    <w:rsid w:val="543847B7"/>
    <w:rsid w:val="54CB2E50"/>
    <w:rsid w:val="56033216"/>
    <w:rsid w:val="58913FBE"/>
    <w:rsid w:val="5AFB69F5"/>
    <w:rsid w:val="5B171E8C"/>
    <w:rsid w:val="5E1D35EC"/>
    <w:rsid w:val="609108DC"/>
    <w:rsid w:val="6141071D"/>
    <w:rsid w:val="630E1F93"/>
    <w:rsid w:val="68820FC4"/>
    <w:rsid w:val="695732E1"/>
    <w:rsid w:val="6B0F2632"/>
    <w:rsid w:val="6BA96FAE"/>
    <w:rsid w:val="6C776DDA"/>
    <w:rsid w:val="6EA06755"/>
    <w:rsid w:val="724D0D96"/>
    <w:rsid w:val="72FF663B"/>
    <w:rsid w:val="730B6BCA"/>
    <w:rsid w:val="735A21CD"/>
    <w:rsid w:val="747B30DE"/>
    <w:rsid w:val="75DA05F2"/>
    <w:rsid w:val="7AAD2716"/>
    <w:rsid w:val="7F87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80</Words>
  <Characters>458</Characters>
  <Lines>3</Lines>
  <Paragraphs>1</Paragraphs>
  <TotalTime>0</TotalTime>
  <ScaleCrop>false</ScaleCrop>
  <LinksUpToDate>false</LinksUpToDate>
  <CharactersWithSpaces>537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2025-07-22T08:02:19Z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85A1490569C2473EA2F5C5EAE2865F17_13</vt:lpwstr>
  </property>
</Properties>
</file>