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D1367">
      <w:pPr>
        <w:widowControl/>
        <w:spacing w:before="100" w:beforeAutospacing="1" w:after="100" w:afterAutospacing="1" w:line="460" w:lineRule="atLeast"/>
        <w:jc w:val="center"/>
        <w:rPr>
          <w:rFonts w:ascii="宋体" w:hAnsi="宋体" w:eastAsia="宋体" w:cs="Arial"/>
          <w:b/>
          <w:color w:val="000000"/>
          <w:kern w:val="0"/>
          <w:szCs w:val="21"/>
        </w:rPr>
      </w:pP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关于</w:t>
      </w:r>
      <w:r>
        <w:rPr>
          <w:rFonts w:hint="eastAsia" w:ascii="宋体" w:hAnsi="宋体" w:eastAsia="宋体" w:cs="Arial"/>
          <w:b/>
          <w:color w:val="000000"/>
          <w:kern w:val="0"/>
          <w:szCs w:val="21"/>
          <w:lang w:eastAsia="zh-CN"/>
        </w:rPr>
        <w:t>建信理财龙鑫智选科创固收类最低持有1年产品第1期</w:t>
      </w:r>
      <w:r>
        <w:rPr>
          <w:rFonts w:hint="eastAsia" w:ascii="宋体" w:hAnsi="宋体" w:eastAsia="宋体" w:cs="Arial"/>
          <w:b/>
          <w:color w:val="000000"/>
          <w:kern w:val="0"/>
          <w:szCs w:val="21"/>
          <w:lang w:val="en-US" w:eastAsia="zh-CN"/>
        </w:rPr>
        <w:t>费率优惠</w:t>
      </w: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的</w:t>
      </w:r>
      <w:r>
        <w:rPr>
          <w:rFonts w:hint="eastAsia" w:ascii="宋体" w:hAnsi="宋体" w:eastAsia="宋体" w:cs="Arial"/>
          <w:b/>
          <w:color w:val="000000"/>
          <w:kern w:val="0"/>
          <w:szCs w:val="21"/>
          <w:lang w:val="en-US" w:eastAsia="zh-CN"/>
        </w:rPr>
        <w:t>公</w:t>
      </w: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告</w:t>
      </w:r>
    </w:p>
    <w:p w14:paraId="04D52AA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textAlignment w:val="auto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尊敬的客户：</w:t>
      </w:r>
    </w:p>
    <w:p w14:paraId="4D961771">
      <w:pPr>
        <w:pStyle w:val="3"/>
        <w:snapToGrid w:val="0"/>
        <w:spacing w:line="460" w:lineRule="atLeast"/>
        <w:ind w:firstLine="420"/>
        <w:rPr>
          <w:rFonts w:hint="eastAsia"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为更好地为客户提供投资理财服务，建信理财有限责任公司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拟对建信理财龙鑫智选科创固收类最低持有1年产品第1期进行销售费率和</w:t>
      </w:r>
      <w:r>
        <w:rPr>
          <w:rFonts w:hint="eastAsia" w:cs="Arial"/>
          <w:color w:val="000000"/>
          <w:sz w:val="21"/>
          <w:szCs w:val="21"/>
        </w:rPr>
        <w:t>管理费率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优惠</w:t>
      </w:r>
      <w:r>
        <w:rPr>
          <w:rFonts w:hint="eastAsia" w:cs="Arial"/>
          <w:color w:val="000000"/>
          <w:sz w:val="21"/>
          <w:szCs w:val="21"/>
        </w:rPr>
        <w:t>，具体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调整</w:t>
      </w:r>
      <w:r>
        <w:rPr>
          <w:rFonts w:hint="eastAsia" w:cs="Arial"/>
          <w:color w:val="000000"/>
          <w:sz w:val="21"/>
          <w:szCs w:val="21"/>
        </w:rPr>
        <w:t>如下：</w:t>
      </w:r>
    </w:p>
    <w:p w14:paraId="034FD55B">
      <w:pPr>
        <w:pStyle w:val="3"/>
        <w:numPr>
          <w:ilvl w:val="0"/>
          <w:numId w:val="1"/>
        </w:numPr>
        <w:snapToGrid w:val="0"/>
        <w:spacing w:line="460" w:lineRule="atLeast"/>
        <w:ind w:firstLine="420"/>
        <w:rPr>
          <w:rFonts w:hint="eastAsia" w:cs="Arial"/>
          <w:color w:val="000000"/>
          <w:sz w:val="21"/>
          <w:szCs w:val="21"/>
          <w:lang w:val="en-US" w:eastAsia="zh-CN"/>
        </w:rPr>
      </w:pPr>
      <w:r>
        <w:rPr>
          <w:rFonts w:hint="eastAsia" w:cs="Arial"/>
          <w:color w:val="000000"/>
          <w:sz w:val="21"/>
          <w:szCs w:val="21"/>
          <w:lang w:val="en-US" w:eastAsia="zh-CN"/>
        </w:rPr>
        <w:t>销售费率</w:t>
      </w:r>
    </w:p>
    <w:tbl>
      <w:tblPr>
        <w:tblStyle w:val="4"/>
        <w:tblW w:w="4838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1"/>
        <w:gridCol w:w="1920"/>
        <w:gridCol w:w="1785"/>
        <w:gridCol w:w="1920"/>
        <w:gridCol w:w="1755"/>
        <w:gridCol w:w="1765"/>
      </w:tblGrid>
      <w:tr w14:paraId="198CF32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tblHeader/>
          <w:jc w:val="center"/>
        </w:trPr>
        <w:tc>
          <w:tcPr>
            <w:tcW w:w="4571" w:type="dxa"/>
            <w:vMerge w:val="restart"/>
            <w:vAlign w:val="center"/>
          </w:tcPr>
          <w:p w14:paraId="14AAFC4C"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920" w:type="dxa"/>
            <w:vMerge w:val="restart"/>
            <w:vAlign w:val="center"/>
          </w:tcPr>
          <w:p w14:paraId="3985C6D6"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785" w:type="dxa"/>
            <w:vMerge w:val="restart"/>
            <w:vAlign w:val="center"/>
          </w:tcPr>
          <w:p w14:paraId="093DA20B">
            <w:pPr>
              <w:pStyle w:val="3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优惠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起始日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含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14:paraId="5D1D6DE2">
            <w:pPr>
              <w:pStyle w:val="3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优惠结束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日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含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520" w:type="dxa"/>
            <w:gridSpan w:val="2"/>
            <w:vAlign w:val="center"/>
          </w:tcPr>
          <w:p w14:paraId="24A5AA3A">
            <w:pPr>
              <w:pStyle w:val="3"/>
              <w:snapToGrid w:val="0"/>
              <w:spacing w:line="24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销售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费率（年化）</w:t>
            </w:r>
          </w:p>
        </w:tc>
      </w:tr>
      <w:tr w14:paraId="3B78E47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  <w:jc w:val="center"/>
        </w:trPr>
        <w:tc>
          <w:tcPr>
            <w:tcW w:w="4571" w:type="dxa"/>
            <w:vMerge w:val="continue"/>
            <w:vAlign w:val="center"/>
          </w:tcPr>
          <w:p w14:paraId="025E1CA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3D4BFD8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85" w:type="dxa"/>
            <w:vMerge w:val="continue"/>
            <w:vAlign w:val="center"/>
          </w:tcPr>
          <w:p w14:paraId="3C70A8F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144BB512">
            <w:pPr>
              <w:pStyle w:val="3"/>
              <w:snapToGrid w:val="0"/>
              <w:spacing w:line="24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 w14:paraId="6D6C24E4">
            <w:pPr>
              <w:pStyle w:val="3"/>
              <w:snapToGrid w:val="0"/>
              <w:spacing w:line="24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优惠前</w:t>
            </w:r>
          </w:p>
        </w:tc>
        <w:tc>
          <w:tcPr>
            <w:tcW w:w="1765" w:type="dxa"/>
            <w:vAlign w:val="center"/>
          </w:tcPr>
          <w:p w14:paraId="65D18AB2">
            <w:pPr>
              <w:pStyle w:val="3"/>
              <w:snapToGrid w:val="0"/>
              <w:spacing w:line="24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优惠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后</w:t>
            </w:r>
          </w:p>
        </w:tc>
      </w:tr>
      <w:tr w14:paraId="60694F2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71" w:type="dxa"/>
            <w:shd w:val="clear" w:color="auto" w:fill="auto"/>
            <w:vAlign w:val="center"/>
          </w:tcPr>
          <w:p w14:paraId="584B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建信理财龙鑫智选科创固收类最低持有1年产品第1期</w:t>
            </w:r>
          </w:p>
        </w:tc>
        <w:tc>
          <w:tcPr>
            <w:tcW w:w="1920" w:type="dxa"/>
            <w:vAlign w:val="center"/>
          </w:tcPr>
          <w:p w14:paraId="5F1A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Z7000725000773</w:t>
            </w:r>
          </w:p>
        </w:tc>
        <w:tc>
          <w:tcPr>
            <w:tcW w:w="1785" w:type="dxa"/>
            <w:vAlign w:val="center"/>
          </w:tcPr>
          <w:p w14:paraId="4664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日</w:t>
            </w:r>
          </w:p>
        </w:tc>
        <w:tc>
          <w:tcPr>
            <w:tcW w:w="1920" w:type="dxa"/>
            <w:vAlign w:val="center"/>
          </w:tcPr>
          <w:p w14:paraId="5944127B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日</w:t>
            </w:r>
          </w:p>
        </w:tc>
        <w:tc>
          <w:tcPr>
            <w:tcW w:w="1755" w:type="dxa"/>
            <w:vAlign w:val="center"/>
          </w:tcPr>
          <w:p w14:paraId="2B5921EB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0.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%</w:t>
            </w:r>
          </w:p>
        </w:tc>
        <w:tc>
          <w:tcPr>
            <w:tcW w:w="1765" w:type="dxa"/>
            <w:vAlign w:val="center"/>
          </w:tcPr>
          <w:p w14:paraId="11F1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0.05%</w:t>
            </w:r>
          </w:p>
        </w:tc>
      </w:tr>
    </w:tbl>
    <w:p w14:paraId="79E78CCB">
      <w:pPr>
        <w:pStyle w:val="3"/>
        <w:numPr>
          <w:ilvl w:val="0"/>
          <w:numId w:val="0"/>
        </w:numPr>
        <w:snapToGrid w:val="0"/>
        <w:spacing w:before="0" w:beforeAutospacing="0" w:after="0" w:afterAutospacing="0" w:line="240" w:lineRule="auto"/>
        <w:rPr>
          <w:rFonts w:hint="eastAsia" w:cs="Arial"/>
          <w:color w:val="000000"/>
          <w:sz w:val="21"/>
          <w:szCs w:val="21"/>
          <w:lang w:val="en-US" w:eastAsia="zh-CN"/>
        </w:rPr>
      </w:pPr>
    </w:p>
    <w:p w14:paraId="54D0E886">
      <w:pPr>
        <w:pStyle w:val="3"/>
        <w:numPr>
          <w:ilvl w:val="0"/>
          <w:numId w:val="1"/>
        </w:numPr>
        <w:snapToGrid w:val="0"/>
        <w:spacing w:line="460" w:lineRule="atLeast"/>
        <w:ind w:firstLine="420"/>
        <w:rPr>
          <w:rFonts w:hint="default" w:cs="Arial"/>
          <w:color w:val="000000"/>
          <w:sz w:val="21"/>
          <w:szCs w:val="21"/>
          <w:lang w:val="en-US" w:eastAsia="zh-CN"/>
        </w:rPr>
      </w:pPr>
      <w:r>
        <w:rPr>
          <w:rFonts w:hint="eastAsia" w:cs="Arial"/>
          <w:color w:val="000000"/>
          <w:sz w:val="21"/>
          <w:szCs w:val="21"/>
          <w:lang w:val="en-US" w:eastAsia="zh-CN"/>
        </w:rPr>
        <w:t>管理费率</w:t>
      </w:r>
    </w:p>
    <w:tbl>
      <w:tblPr>
        <w:tblStyle w:val="4"/>
        <w:tblW w:w="4838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1"/>
        <w:gridCol w:w="1920"/>
        <w:gridCol w:w="1785"/>
        <w:gridCol w:w="1920"/>
        <w:gridCol w:w="1755"/>
        <w:gridCol w:w="1765"/>
      </w:tblGrid>
      <w:tr w14:paraId="6137822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tblHeader/>
          <w:jc w:val="center"/>
        </w:trPr>
        <w:tc>
          <w:tcPr>
            <w:tcW w:w="4571" w:type="dxa"/>
            <w:vMerge w:val="restart"/>
            <w:vAlign w:val="center"/>
          </w:tcPr>
          <w:p w14:paraId="17F1658C"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920" w:type="dxa"/>
            <w:vMerge w:val="restart"/>
            <w:vAlign w:val="center"/>
          </w:tcPr>
          <w:p w14:paraId="560934D2"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785" w:type="dxa"/>
            <w:vMerge w:val="restart"/>
            <w:vAlign w:val="center"/>
          </w:tcPr>
          <w:p w14:paraId="0CACA5DB">
            <w:pPr>
              <w:pStyle w:val="3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优惠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起始日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含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14:paraId="67A18BCA">
            <w:pPr>
              <w:pStyle w:val="3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优惠结束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日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含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520" w:type="dxa"/>
            <w:gridSpan w:val="2"/>
            <w:vAlign w:val="center"/>
          </w:tcPr>
          <w:p w14:paraId="2351C94A">
            <w:pPr>
              <w:pStyle w:val="3"/>
              <w:snapToGrid w:val="0"/>
              <w:spacing w:line="24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管理费率（年化）</w:t>
            </w:r>
          </w:p>
        </w:tc>
      </w:tr>
      <w:tr w14:paraId="7985BD4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  <w:jc w:val="center"/>
        </w:trPr>
        <w:tc>
          <w:tcPr>
            <w:tcW w:w="4571" w:type="dxa"/>
            <w:vMerge w:val="continue"/>
            <w:vAlign w:val="center"/>
          </w:tcPr>
          <w:p w14:paraId="71607D0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7953AD4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85" w:type="dxa"/>
            <w:vMerge w:val="continue"/>
            <w:vAlign w:val="center"/>
          </w:tcPr>
          <w:p w14:paraId="4B46057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606F9CE6">
            <w:pPr>
              <w:pStyle w:val="3"/>
              <w:snapToGrid w:val="0"/>
              <w:spacing w:line="24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 w14:paraId="518B5324">
            <w:pPr>
              <w:pStyle w:val="3"/>
              <w:snapToGrid w:val="0"/>
              <w:spacing w:line="24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优惠前</w:t>
            </w:r>
          </w:p>
        </w:tc>
        <w:tc>
          <w:tcPr>
            <w:tcW w:w="1765" w:type="dxa"/>
            <w:vAlign w:val="center"/>
          </w:tcPr>
          <w:p w14:paraId="78E38C2B">
            <w:pPr>
              <w:pStyle w:val="3"/>
              <w:snapToGrid w:val="0"/>
              <w:spacing w:line="24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优惠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后</w:t>
            </w:r>
          </w:p>
        </w:tc>
      </w:tr>
      <w:tr w14:paraId="614A2AA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71" w:type="dxa"/>
            <w:shd w:val="clear" w:color="auto" w:fill="auto"/>
            <w:vAlign w:val="center"/>
          </w:tcPr>
          <w:p w14:paraId="6101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建信理财龙鑫智选科创固收类最低持有1年产品第1期</w:t>
            </w:r>
          </w:p>
        </w:tc>
        <w:tc>
          <w:tcPr>
            <w:tcW w:w="1920" w:type="dxa"/>
            <w:vAlign w:val="center"/>
          </w:tcPr>
          <w:p w14:paraId="050C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Z7000725000773</w:t>
            </w:r>
          </w:p>
        </w:tc>
        <w:tc>
          <w:tcPr>
            <w:tcW w:w="1785" w:type="dxa"/>
            <w:vAlign w:val="center"/>
          </w:tcPr>
          <w:p w14:paraId="331C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日</w:t>
            </w:r>
          </w:p>
        </w:tc>
        <w:tc>
          <w:tcPr>
            <w:tcW w:w="1920" w:type="dxa"/>
            <w:vAlign w:val="center"/>
          </w:tcPr>
          <w:p w14:paraId="52A8C0A4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日</w:t>
            </w:r>
          </w:p>
        </w:tc>
        <w:tc>
          <w:tcPr>
            <w:tcW w:w="1755" w:type="dxa"/>
            <w:vAlign w:val="center"/>
          </w:tcPr>
          <w:p w14:paraId="2AECAAAC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0.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%</w:t>
            </w:r>
          </w:p>
        </w:tc>
        <w:tc>
          <w:tcPr>
            <w:tcW w:w="1765" w:type="dxa"/>
            <w:vAlign w:val="center"/>
          </w:tcPr>
          <w:p w14:paraId="107D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0.05%</w:t>
            </w:r>
          </w:p>
        </w:tc>
      </w:tr>
      <w:bookmarkEnd w:id="0"/>
    </w:tbl>
    <w:p w14:paraId="785F335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/>
        <w:textAlignment w:val="auto"/>
        <w:rPr>
          <w:rFonts w:hint="default" w:eastAsia="宋体" w:cs="Arial"/>
          <w:color w:val="000000"/>
          <w:sz w:val="21"/>
          <w:szCs w:val="21"/>
          <w:lang w:val="en-US" w:eastAsia="zh-CN"/>
        </w:rPr>
      </w:pPr>
      <w:r>
        <w:rPr>
          <w:rFonts w:hint="eastAsia" w:cs="Arial"/>
          <w:color w:val="000000"/>
          <w:sz w:val="21"/>
          <w:szCs w:val="21"/>
          <w:lang w:val="en-US" w:eastAsia="zh-CN"/>
        </w:rPr>
        <w:t>自优惠结束日后，销售费率和管理费率恢复至原费率水平。</w:t>
      </w:r>
    </w:p>
    <w:p w14:paraId="4948549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/>
        <w:textAlignment w:val="auto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本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公</w:t>
      </w:r>
      <w:r>
        <w:rPr>
          <w:rFonts w:hint="eastAsia" w:cs="Arial"/>
          <w:color w:val="000000"/>
          <w:sz w:val="21"/>
          <w:szCs w:val="21"/>
        </w:rPr>
        <w:t>告未提及事宜，按原产品说明书和风险揭示书的约定执行。</w:t>
      </w:r>
    </w:p>
    <w:p w14:paraId="57192C0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textAlignment w:val="auto"/>
        <w:rPr>
          <w:rFonts w:hint="eastAsia" w:eastAsia="宋体" w:cs="Arial"/>
          <w:color w:val="000000"/>
          <w:sz w:val="21"/>
          <w:szCs w:val="21"/>
          <w:lang w:eastAsia="zh-CN"/>
        </w:rPr>
      </w:pPr>
      <w:r>
        <w:rPr>
          <w:rFonts w:hint="eastAsia" w:cs="Arial"/>
          <w:color w:val="000000"/>
          <w:sz w:val="21"/>
          <w:szCs w:val="21"/>
        </w:rPr>
        <w:t>特此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公</w:t>
      </w:r>
      <w:r>
        <w:rPr>
          <w:rFonts w:hint="eastAsia" w:cs="Arial"/>
          <w:color w:val="000000"/>
          <w:sz w:val="21"/>
          <w:szCs w:val="21"/>
        </w:rPr>
        <w:t>告</w:t>
      </w:r>
      <w:r>
        <w:rPr>
          <w:rFonts w:hint="eastAsia" w:cs="Arial"/>
          <w:color w:val="000000"/>
          <w:sz w:val="21"/>
          <w:szCs w:val="21"/>
          <w:lang w:eastAsia="zh-CN"/>
        </w:rPr>
        <w:t>。</w:t>
      </w:r>
    </w:p>
    <w:p w14:paraId="6CC573A4">
      <w:pPr>
        <w:pStyle w:val="3"/>
        <w:snapToGrid w:val="0"/>
        <w:spacing w:before="0" w:beforeAutospacing="0" w:after="0" w:afterAutospacing="0" w:line="460" w:lineRule="atLeast"/>
        <w:ind w:firstLine="420"/>
        <w:jc w:val="right"/>
        <w:rPr>
          <w:rFonts w:cs="Arial" w:asciiTheme="minorEastAsia" w:hAnsiTheme="minorEastAsia" w:eastAsiaTheme="minorEastAsia"/>
          <w:color w:val="666666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建信理财有限责任公司</w:t>
      </w:r>
    </w:p>
    <w:p w14:paraId="3D1397BF">
      <w:pPr>
        <w:pStyle w:val="3"/>
        <w:snapToGrid w:val="0"/>
        <w:spacing w:before="0" w:beforeAutospacing="0" w:after="0" w:afterAutospacing="0" w:line="460" w:lineRule="atLeast"/>
        <w:ind w:firstLine="420"/>
        <w:jc w:val="right"/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202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5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年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8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月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11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879952"/>
    <w:multiLevelType w:val="singleLevel"/>
    <w:tmpl w:val="F18799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B2E50"/>
    <w:rsid w:val="00D41374"/>
    <w:rsid w:val="01C866F9"/>
    <w:rsid w:val="02463876"/>
    <w:rsid w:val="03C249D5"/>
    <w:rsid w:val="04831DF5"/>
    <w:rsid w:val="04A732AF"/>
    <w:rsid w:val="063B1146"/>
    <w:rsid w:val="072968D9"/>
    <w:rsid w:val="07C74150"/>
    <w:rsid w:val="090B39B3"/>
    <w:rsid w:val="0EE235F9"/>
    <w:rsid w:val="0EF33893"/>
    <w:rsid w:val="0F1757F6"/>
    <w:rsid w:val="10057D33"/>
    <w:rsid w:val="117466E5"/>
    <w:rsid w:val="12EA0F15"/>
    <w:rsid w:val="12F066A2"/>
    <w:rsid w:val="13A0778E"/>
    <w:rsid w:val="13D23914"/>
    <w:rsid w:val="14231504"/>
    <w:rsid w:val="146F4594"/>
    <w:rsid w:val="14AB2864"/>
    <w:rsid w:val="16292C6D"/>
    <w:rsid w:val="16B17642"/>
    <w:rsid w:val="16D0087B"/>
    <w:rsid w:val="16F5695F"/>
    <w:rsid w:val="18DF34D5"/>
    <w:rsid w:val="195A7F25"/>
    <w:rsid w:val="198E0855"/>
    <w:rsid w:val="1CE407F6"/>
    <w:rsid w:val="1E703800"/>
    <w:rsid w:val="1ED41A95"/>
    <w:rsid w:val="1F240D25"/>
    <w:rsid w:val="22F8694F"/>
    <w:rsid w:val="23E822B6"/>
    <w:rsid w:val="24171AC2"/>
    <w:rsid w:val="242642DB"/>
    <w:rsid w:val="24853F16"/>
    <w:rsid w:val="24E04237"/>
    <w:rsid w:val="24F44C86"/>
    <w:rsid w:val="252F258F"/>
    <w:rsid w:val="26810635"/>
    <w:rsid w:val="26C55EA9"/>
    <w:rsid w:val="27AD03A5"/>
    <w:rsid w:val="284F72AB"/>
    <w:rsid w:val="28ED0D31"/>
    <w:rsid w:val="298F1E12"/>
    <w:rsid w:val="2A6A4FF1"/>
    <w:rsid w:val="2B2960DD"/>
    <w:rsid w:val="2BA82367"/>
    <w:rsid w:val="2C7A1CCF"/>
    <w:rsid w:val="2F505AA6"/>
    <w:rsid w:val="32021299"/>
    <w:rsid w:val="32C41357"/>
    <w:rsid w:val="32D75DF9"/>
    <w:rsid w:val="3330216E"/>
    <w:rsid w:val="3535115B"/>
    <w:rsid w:val="35352A53"/>
    <w:rsid w:val="35900FE1"/>
    <w:rsid w:val="35A35F0C"/>
    <w:rsid w:val="35A66E91"/>
    <w:rsid w:val="35D36382"/>
    <w:rsid w:val="36E921AB"/>
    <w:rsid w:val="39203FFE"/>
    <w:rsid w:val="39BE045B"/>
    <w:rsid w:val="39F562C6"/>
    <w:rsid w:val="39FC4F68"/>
    <w:rsid w:val="3A4221B6"/>
    <w:rsid w:val="3AC72CFB"/>
    <w:rsid w:val="3BA8586D"/>
    <w:rsid w:val="3BDB2454"/>
    <w:rsid w:val="3C103F97"/>
    <w:rsid w:val="3C1C32B9"/>
    <w:rsid w:val="3D880301"/>
    <w:rsid w:val="3F4150D3"/>
    <w:rsid w:val="4067788A"/>
    <w:rsid w:val="40EC39E1"/>
    <w:rsid w:val="416937DF"/>
    <w:rsid w:val="42C46384"/>
    <w:rsid w:val="432937C0"/>
    <w:rsid w:val="44F4717C"/>
    <w:rsid w:val="45EE3F48"/>
    <w:rsid w:val="466A1313"/>
    <w:rsid w:val="47B75005"/>
    <w:rsid w:val="47BB52E5"/>
    <w:rsid w:val="48B50259"/>
    <w:rsid w:val="49863B93"/>
    <w:rsid w:val="49E43B49"/>
    <w:rsid w:val="4A4C3DB8"/>
    <w:rsid w:val="4B380F77"/>
    <w:rsid w:val="4C4F073F"/>
    <w:rsid w:val="4D0639CC"/>
    <w:rsid w:val="4D7D33AF"/>
    <w:rsid w:val="4DE93BA1"/>
    <w:rsid w:val="4F3A6B88"/>
    <w:rsid w:val="4F6222CB"/>
    <w:rsid w:val="508E21DE"/>
    <w:rsid w:val="516B0122"/>
    <w:rsid w:val="52866F14"/>
    <w:rsid w:val="53335E7F"/>
    <w:rsid w:val="543847B7"/>
    <w:rsid w:val="54CB2E50"/>
    <w:rsid w:val="5547000F"/>
    <w:rsid w:val="55A37D12"/>
    <w:rsid w:val="572F3796"/>
    <w:rsid w:val="58913FBE"/>
    <w:rsid w:val="59CB70B4"/>
    <w:rsid w:val="5AB158C3"/>
    <w:rsid w:val="5B03795E"/>
    <w:rsid w:val="5B846FD8"/>
    <w:rsid w:val="5B8B65BE"/>
    <w:rsid w:val="5D9F4227"/>
    <w:rsid w:val="5DD83C04"/>
    <w:rsid w:val="60213828"/>
    <w:rsid w:val="609108DC"/>
    <w:rsid w:val="6141071D"/>
    <w:rsid w:val="630E1F93"/>
    <w:rsid w:val="64733A58"/>
    <w:rsid w:val="649F2AD8"/>
    <w:rsid w:val="64FE3C72"/>
    <w:rsid w:val="652520C5"/>
    <w:rsid w:val="695732E1"/>
    <w:rsid w:val="69824AE2"/>
    <w:rsid w:val="6A385E52"/>
    <w:rsid w:val="6AA1457D"/>
    <w:rsid w:val="6BA96FAE"/>
    <w:rsid w:val="6CD97AB6"/>
    <w:rsid w:val="6DE568D8"/>
    <w:rsid w:val="6FD36103"/>
    <w:rsid w:val="70531ED5"/>
    <w:rsid w:val="70EF55D6"/>
    <w:rsid w:val="71814DB7"/>
    <w:rsid w:val="724D0D96"/>
    <w:rsid w:val="72920205"/>
    <w:rsid w:val="72FF663B"/>
    <w:rsid w:val="735A21CD"/>
    <w:rsid w:val="745325C0"/>
    <w:rsid w:val="747B30DE"/>
    <w:rsid w:val="75B02793"/>
    <w:rsid w:val="762C73B5"/>
    <w:rsid w:val="76571974"/>
    <w:rsid w:val="76FF56E8"/>
    <w:rsid w:val="77541DD9"/>
    <w:rsid w:val="777A0A13"/>
    <w:rsid w:val="789101DB"/>
    <w:rsid w:val="791E0625"/>
    <w:rsid w:val="7BF736DB"/>
    <w:rsid w:val="7C0A200F"/>
    <w:rsid w:val="7C3073CD"/>
    <w:rsid w:val="7CFA4897"/>
    <w:rsid w:val="7D8E621E"/>
    <w:rsid w:val="7DB85F4F"/>
    <w:rsid w:val="7DC31D62"/>
    <w:rsid w:val="7E194CEF"/>
    <w:rsid w:val="7E31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2024-11-11T01:06:00Z</dcterms:created>
  <dc:creator>jxlc</dc:creator>
  <cp:lastModifiedBy>jxlc</cp:lastModifiedBy>
  <dcterms:modified xsi:type="dcterms:W3CDTF">2025-08-05T09:24:16Z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DEBD07D541514CE8A893BA008B1CDA01_11</vt:lpwstr>
  </property>
</Properties>
</file>