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eastAsia="zh-CN"/>
        </w:rPr>
        <w:t>建信理财龙鑫固收类最低持有1年产品第3期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公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告</w:t>
      </w:r>
    </w:p>
    <w:p w14:paraId="04D52AA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3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拟对建信理财龙鑫固收类最低持有1年产品第3期进行销售费率和</w:t>
      </w:r>
      <w:r>
        <w:rPr>
          <w:rFonts w:hint="eastAsia" w:cs="Arial"/>
          <w:color w:val="000000"/>
          <w:sz w:val="21"/>
          <w:szCs w:val="21"/>
        </w:rPr>
        <w:t>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</w:t>
      </w:r>
      <w:r>
        <w:rPr>
          <w:rFonts w:hint="eastAsia" w:cs="Arial"/>
          <w:color w:val="000000"/>
          <w:sz w:val="21"/>
          <w:szCs w:val="21"/>
        </w:rPr>
        <w:t>，具体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调整</w:t>
      </w:r>
      <w:r>
        <w:rPr>
          <w:rFonts w:hint="eastAsia" w:cs="Arial"/>
          <w:color w:val="000000"/>
          <w:sz w:val="21"/>
          <w:szCs w:val="21"/>
        </w:rPr>
        <w:t>如下：</w:t>
      </w:r>
    </w:p>
    <w:p w14:paraId="034FD55B">
      <w:pPr>
        <w:pStyle w:val="3"/>
        <w:numPr>
          <w:ilvl w:val="0"/>
          <w:numId w:val="1"/>
        </w:numPr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销售费率</w:t>
      </w:r>
    </w:p>
    <w:tbl>
      <w:tblPr>
        <w:tblStyle w:val="4"/>
        <w:tblW w:w="483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6"/>
        <w:gridCol w:w="1965"/>
        <w:gridCol w:w="1860"/>
        <w:gridCol w:w="1950"/>
        <w:gridCol w:w="1605"/>
        <w:gridCol w:w="1450"/>
      </w:tblGrid>
      <w:tr w14:paraId="198CF3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4886" w:type="dxa"/>
            <w:vMerge w:val="restart"/>
            <w:vAlign w:val="center"/>
          </w:tcPr>
          <w:p w14:paraId="14AAFC4C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65" w:type="dxa"/>
            <w:vMerge w:val="restart"/>
            <w:vAlign w:val="center"/>
          </w:tcPr>
          <w:p w14:paraId="3985C6D6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60" w:type="dxa"/>
            <w:vMerge w:val="restart"/>
            <w:vAlign w:val="center"/>
          </w:tcPr>
          <w:p w14:paraId="093DA20B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起始日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5D1D6DE2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55" w:type="dxa"/>
            <w:gridSpan w:val="2"/>
            <w:vAlign w:val="center"/>
          </w:tcPr>
          <w:p w14:paraId="24A5AA3A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销售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费率（年化）</w:t>
            </w:r>
          </w:p>
        </w:tc>
      </w:tr>
      <w:tr w14:paraId="3B78E4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4886" w:type="dxa"/>
            <w:vMerge w:val="continue"/>
            <w:vAlign w:val="center"/>
          </w:tcPr>
          <w:p w14:paraId="025E1C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3D4BFD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3C70A8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144BB512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6D6C24E4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优惠前</w:t>
            </w:r>
          </w:p>
        </w:tc>
        <w:tc>
          <w:tcPr>
            <w:tcW w:w="1450" w:type="dxa"/>
            <w:vAlign w:val="center"/>
          </w:tcPr>
          <w:p w14:paraId="65D18AB2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后</w:t>
            </w:r>
          </w:p>
        </w:tc>
      </w:tr>
      <w:tr w14:paraId="60694F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6" w:type="dxa"/>
            <w:shd w:val="clear" w:color="auto" w:fill="auto"/>
            <w:vAlign w:val="center"/>
          </w:tcPr>
          <w:p w14:paraId="584B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建信理财龙鑫固收类最低持有1年产品第3期-A份额</w:t>
            </w:r>
          </w:p>
        </w:tc>
        <w:tc>
          <w:tcPr>
            <w:tcW w:w="1965" w:type="dxa"/>
            <w:vAlign w:val="center"/>
          </w:tcPr>
          <w:p w14:paraId="5F1A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Z7000725000811</w:t>
            </w:r>
          </w:p>
        </w:tc>
        <w:tc>
          <w:tcPr>
            <w:tcW w:w="1860" w:type="dxa"/>
            <w:vAlign w:val="center"/>
          </w:tcPr>
          <w:p w14:paraId="4664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50" w:type="dxa"/>
            <w:vAlign w:val="center"/>
          </w:tcPr>
          <w:p w14:paraId="5944127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605" w:type="dxa"/>
            <w:vAlign w:val="center"/>
          </w:tcPr>
          <w:p w14:paraId="2B5921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450" w:type="dxa"/>
            <w:vAlign w:val="center"/>
          </w:tcPr>
          <w:p w14:paraId="11F1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0.10%</w:t>
            </w:r>
          </w:p>
        </w:tc>
      </w:tr>
      <w:tr w14:paraId="42EC8E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6" w:type="dxa"/>
            <w:shd w:val="clear" w:color="auto" w:fill="auto"/>
            <w:vAlign w:val="center"/>
          </w:tcPr>
          <w:p w14:paraId="38B9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建信理财龙鑫固收类最低持有1年产品第3期-B份额</w:t>
            </w:r>
          </w:p>
        </w:tc>
        <w:tc>
          <w:tcPr>
            <w:tcW w:w="1965" w:type="dxa"/>
            <w:vAlign w:val="center"/>
          </w:tcPr>
          <w:p w14:paraId="4844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Z7000725000811</w:t>
            </w:r>
          </w:p>
        </w:tc>
        <w:tc>
          <w:tcPr>
            <w:tcW w:w="1860" w:type="dxa"/>
            <w:vAlign w:val="center"/>
          </w:tcPr>
          <w:p w14:paraId="391E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50" w:type="dxa"/>
            <w:vAlign w:val="center"/>
          </w:tcPr>
          <w:p w14:paraId="213B597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605" w:type="dxa"/>
            <w:vAlign w:val="center"/>
          </w:tcPr>
          <w:p w14:paraId="1CECD86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0.15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450" w:type="dxa"/>
            <w:vAlign w:val="center"/>
          </w:tcPr>
          <w:p w14:paraId="05F6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0.05%</w:t>
            </w:r>
          </w:p>
        </w:tc>
      </w:tr>
    </w:tbl>
    <w:p w14:paraId="32DFB04C">
      <w:pPr>
        <w:pStyle w:val="3"/>
        <w:numPr>
          <w:ilvl w:val="0"/>
          <w:numId w:val="0"/>
        </w:numPr>
        <w:snapToGrid w:val="0"/>
        <w:spacing w:before="0" w:beforeAutospacing="0" w:after="0" w:afterAutospacing="0" w:line="240" w:lineRule="auto"/>
        <w:rPr>
          <w:rFonts w:hint="eastAsia" w:cs="Arial"/>
          <w:color w:val="000000"/>
          <w:sz w:val="21"/>
          <w:szCs w:val="21"/>
          <w:lang w:val="en-US" w:eastAsia="zh-CN"/>
        </w:rPr>
      </w:pPr>
    </w:p>
    <w:p w14:paraId="54D0E886">
      <w:pPr>
        <w:pStyle w:val="3"/>
        <w:numPr>
          <w:ilvl w:val="0"/>
          <w:numId w:val="1"/>
        </w:numPr>
        <w:snapToGrid w:val="0"/>
        <w:spacing w:line="460" w:lineRule="atLeast"/>
        <w:ind w:firstLine="420"/>
        <w:rPr>
          <w:rFonts w:hint="default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管理费率</w:t>
      </w:r>
    </w:p>
    <w:tbl>
      <w:tblPr>
        <w:tblStyle w:val="4"/>
        <w:tblW w:w="483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1"/>
        <w:gridCol w:w="1920"/>
        <w:gridCol w:w="1890"/>
        <w:gridCol w:w="1935"/>
        <w:gridCol w:w="1635"/>
        <w:gridCol w:w="1435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4901" w:type="dxa"/>
            <w:vMerge w:val="restart"/>
            <w:vAlign w:val="center"/>
          </w:tcPr>
          <w:p w14:paraId="17F1658C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20" w:type="dxa"/>
            <w:vMerge w:val="restart"/>
            <w:vAlign w:val="center"/>
          </w:tcPr>
          <w:p w14:paraId="560934D2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90" w:type="dxa"/>
            <w:vMerge w:val="restart"/>
            <w:vAlign w:val="center"/>
          </w:tcPr>
          <w:p w14:paraId="0CACA5DB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起始日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14:paraId="67A18BCA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70" w:type="dxa"/>
            <w:gridSpan w:val="2"/>
            <w:vAlign w:val="center"/>
          </w:tcPr>
          <w:p w14:paraId="2351C94A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管理费率（年化）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4901" w:type="dxa"/>
            <w:vMerge w:val="continue"/>
            <w:vAlign w:val="center"/>
          </w:tcPr>
          <w:p w14:paraId="71607D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953AD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4B4605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606F9CE6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18B5324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优惠前</w:t>
            </w:r>
          </w:p>
        </w:tc>
        <w:tc>
          <w:tcPr>
            <w:tcW w:w="1435" w:type="dxa"/>
            <w:vAlign w:val="center"/>
          </w:tcPr>
          <w:p w14:paraId="78E38C2B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后</w:t>
            </w:r>
          </w:p>
        </w:tc>
      </w:tr>
      <w:tr w14:paraId="614A2A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1" w:type="dxa"/>
            <w:shd w:val="clear" w:color="auto" w:fill="auto"/>
            <w:vAlign w:val="center"/>
          </w:tcPr>
          <w:p w14:paraId="6101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建信理财龙鑫固收类最低持有1年产品第3期</w:t>
            </w:r>
          </w:p>
        </w:tc>
        <w:tc>
          <w:tcPr>
            <w:tcW w:w="1920" w:type="dxa"/>
            <w:vAlign w:val="center"/>
          </w:tcPr>
          <w:p w14:paraId="050C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Z7000725000811</w:t>
            </w:r>
          </w:p>
        </w:tc>
        <w:tc>
          <w:tcPr>
            <w:tcW w:w="1890" w:type="dxa"/>
            <w:vAlign w:val="center"/>
          </w:tcPr>
          <w:p w14:paraId="331C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35" w:type="dxa"/>
            <w:vAlign w:val="center"/>
          </w:tcPr>
          <w:p w14:paraId="52A8C0A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635" w:type="dxa"/>
            <w:vAlign w:val="center"/>
          </w:tcPr>
          <w:p w14:paraId="2AECAAA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435" w:type="dxa"/>
            <w:vAlign w:val="center"/>
          </w:tcPr>
          <w:p w14:paraId="107D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0.10%</w:t>
            </w:r>
          </w:p>
        </w:tc>
      </w:tr>
    </w:tbl>
    <w:p w14:paraId="785F335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textAlignment w:val="auto"/>
        <w:rPr>
          <w:rFonts w:hint="default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自优惠结束日后，销售费率和管理费率恢复至原费率水平。</w:t>
      </w:r>
    </w:p>
    <w:p w14:paraId="4948549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textAlignment w:val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公</w:t>
      </w:r>
      <w:r>
        <w:rPr>
          <w:rFonts w:hint="eastAsia" w:cs="Arial"/>
          <w:color w:val="000000"/>
          <w:sz w:val="21"/>
          <w:szCs w:val="21"/>
        </w:rPr>
        <w:t>告未提及事宜，按原产品说明书和风险揭示书的约定执行。</w:t>
      </w:r>
    </w:p>
    <w:p w14:paraId="57192C0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hint="eastAsia" w:eastAsia="宋体" w:cs="Arial"/>
          <w:color w:val="000000"/>
          <w:sz w:val="21"/>
          <w:szCs w:val="21"/>
          <w:lang w:eastAsia="zh-CN"/>
        </w:rPr>
      </w:pPr>
      <w:r>
        <w:rPr>
          <w:rFonts w:hint="eastAsia" w:cs="Arial"/>
          <w:color w:val="000000"/>
          <w:sz w:val="21"/>
          <w:szCs w:val="21"/>
        </w:rPr>
        <w:t>特此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公</w:t>
      </w:r>
      <w:r>
        <w:rPr>
          <w:rFonts w:hint="eastAsia" w:cs="Arial"/>
          <w:color w:val="000000"/>
          <w:sz w:val="21"/>
          <w:szCs w:val="21"/>
        </w:rPr>
        <w:t>告</w:t>
      </w:r>
      <w:r>
        <w:rPr>
          <w:rFonts w:hint="eastAsia" w:cs="Arial"/>
          <w:color w:val="000000"/>
          <w:sz w:val="21"/>
          <w:szCs w:val="21"/>
          <w:lang w:eastAsia="zh-CN"/>
        </w:rPr>
        <w:t>。</w:t>
      </w:r>
    </w:p>
    <w:p w14:paraId="6CC573A4">
      <w:pPr>
        <w:pStyle w:val="3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3D1397BF">
      <w:pPr>
        <w:pStyle w:val="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79952"/>
    <w:multiLevelType w:val="singleLevel"/>
    <w:tmpl w:val="F18799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D41374"/>
    <w:rsid w:val="01764B1A"/>
    <w:rsid w:val="01C866F9"/>
    <w:rsid w:val="02463876"/>
    <w:rsid w:val="03313F70"/>
    <w:rsid w:val="035117CA"/>
    <w:rsid w:val="03C249D5"/>
    <w:rsid w:val="04831DF5"/>
    <w:rsid w:val="04A732AF"/>
    <w:rsid w:val="063B1146"/>
    <w:rsid w:val="072968D9"/>
    <w:rsid w:val="07C74150"/>
    <w:rsid w:val="0EE235F9"/>
    <w:rsid w:val="0EF33893"/>
    <w:rsid w:val="0F1757F6"/>
    <w:rsid w:val="10057D33"/>
    <w:rsid w:val="117466E5"/>
    <w:rsid w:val="12EA0F15"/>
    <w:rsid w:val="12F066A2"/>
    <w:rsid w:val="13A0778E"/>
    <w:rsid w:val="13D23914"/>
    <w:rsid w:val="14231504"/>
    <w:rsid w:val="146F4594"/>
    <w:rsid w:val="14AB2864"/>
    <w:rsid w:val="16292C6D"/>
    <w:rsid w:val="16B17642"/>
    <w:rsid w:val="16D0087B"/>
    <w:rsid w:val="16F5695F"/>
    <w:rsid w:val="18DF34D5"/>
    <w:rsid w:val="195A7F25"/>
    <w:rsid w:val="1CE407F6"/>
    <w:rsid w:val="1E703800"/>
    <w:rsid w:val="1ED41A95"/>
    <w:rsid w:val="1F240D25"/>
    <w:rsid w:val="22F8694F"/>
    <w:rsid w:val="23E822B6"/>
    <w:rsid w:val="24171AC2"/>
    <w:rsid w:val="242642DB"/>
    <w:rsid w:val="24853F16"/>
    <w:rsid w:val="24F44C86"/>
    <w:rsid w:val="252F258F"/>
    <w:rsid w:val="26810635"/>
    <w:rsid w:val="26C55EA9"/>
    <w:rsid w:val="27AD03A5"/>
    <w:rsid w:val="284F72AB"/>
    <w:rsid w:val="28ED0D31"/>
    <w:rsid w:val="298F1E12"/>
    <w:rsid w:val="2A6A4FF1"/>
    <w:rsid w:val="2B2960DD"/>
    <w:rsid w:val="2C7A1CCF"/>
    <w:rsid w:val="2F505AA6"/>
    <w:rsid w:val="30D9674E"/>
    <w:rsid w:val="32021299"/>
    <w:rsid w:val="32C41357"/>
    <w:rsid w:val="32D75DF9"/>
    <w:rsid w:val="3330216E"/>
    <w:rsid w:val="3535115B"/>
    <w:rsid w:val="35352A53"/>
    <w:rsid w:val="35A35F0C"/>
    <w:rsid w:val="35A66E91"/>
    <w:rsid w:val="35D36382"/>
    <w:rsid w:val="36E921AB"/>
    <w:rsid w:val="39203FFE"/>
    <w:rsid w:val="39BE045B"/>
    <w:rsid w:val="39F562C6"/>
    <w:rsid w:val="39FC4F68"/>
    <w:rsid w:val="3A4221B6"/>
    <w:rsid w:val="3AC72CFB"/>
    <w:rsid w:val="3BA8586D"/>
    <w:rsid w:val="3BDB2454"/>
    <w:rsid w:val="3C103F97"/>
    <w:rsid w:val="3C1C32B9"/>
    <w:rsid w:val="3D880301"/>
    <w:rsid w:val="3F4150D3"/>
    <w:rsid w:val="4067788A"/>
    <w:rsid w:val="40EC39E1"/>
    <w:rsid w:val="416937DF"/>
    <w:rsid w:val="41A47013"/>
    <w:rsid w:val="42C46384"/>
    <w:rsid w:val="432937C0"/>
    <w:rsid w:val="44F4717C"/>
    <w:rsid w:val="45EE3F48"/>
    <w:rsid w:val="466A1313"/>
    <w:rsid w:val="47B75005"/>
    <w:rsid w:val="47BB52E5"/>
    <w:rsid w:val="49863B93"/>
    <w:rsid w:val="49E43B49"/>
    <w:rsid w:val="4A4C3DB8"/>
    <w:rsid w:val="4B380F77"/>
    <w:rsid w:val="4C4F073F"/>
    <w:rsid w:val="4D0639CC"/>
    <w:rsid w:val="4D7D33AF"/>
    <w:rsid w:val="4DE93BA1"/>
    <w:rsid w:val="4F3A6B88"/>
    <w:rsid w:val="4F6222CB"/>
    <w:rsid w:val="508E21DE"/>
    <w:rsid w:val="516B0122"/>
    <w:rsid w:val="52866F14"/>
    <w:rsid w:val="53335E7F"/>
    <w:rsid w:val="543847B7"/>
    <w:rsid w:val="54CB2E50"/>
    <w:rsid w:val="5547000F"/>
    <w:rsid w:val="55A37D12"/>
    <w:rsid w:val="572F3796"/>
    <w:rsid w:val="58913FBE"/>
    <w:rsid w:val="59CB70B4"/>
    <w:rsid w:val="5AB158C3"/>
    <w:rsid w:val="5ACB5A8C"/>
    <w:rsid w:val="5B03795E"/>
    <w:rsid w:val="5B846FD8"/>
    <w:rsid w:val="5B8B65BE"/>
    <w:rsid w:val="5D9F4227"/>
    <w:rsid w:val="5DD83C04"/>
    <w:rsid w:val="60213828"/>
    <w:rsid w:val="609108DC"/>
    <w:rsid w:val="6141071D"/>
    <w:rsid w:val="630E1F93"/>
    <w:rsid w:val="64733A58"/>
    <w:rsid w:val="649F2AD8"/>
    <w:rsid w:val="64FE3C72"/>
    <w:rsid w:val="652520C5"/>
    <w:rsid w:val="695732E1"/>
    <w:rsid w:val="69824AE2"/>
    <w:rsid w:val="6A385E52"/>
    <w:rsid w:val="6AA1457D"/>
    <w:rsid w:val="6BA96FAE"/>
    <w:rsid w:val="6CD97AB6"/>
    <w:rsid w:val="6DE568D8"/>
    <w:rsid w:val="6FD36103"/>
    <w:rsid w:val="70531ED5"/>
    <w:rsid w:val="70EF55D6"/>
    <w:rsid w:val="71814DB7"/>
    <w:rsid w:val="71C422CA"/>
    <w:rsid w:val="724D0D96"/>
    <w:rsid w:val="72920205"/>
    <w:rsid w:val="72FF663B"/>
    <w:rsid w:val="735A21CD"/>
    <w:rsid w:val="745325C0"/>
    <w:rsid w:val="747B30DE"/>
    <w:rsid w:val="75B02793"/>
    <w:rsid w:val="762C73B5"/>
    <w:rsid w:val="76571974"/>
    <w:rsid w:val="76FF56E8"/>
    <w:rsid w:val="77541DD9"/>
    <w:rsid w:val="777A0A13"/>
    <w:rsid w:val="789101DB"/>
    <w:rsid w:val="789B1A7F"/>
    <w:rsid w:val="791E0625"/>
    <w:rsid w:val="7C0A200F"/>
    <w:rsid w:val="7C3073CD"/>
    <w:rsid w:val="7CFA4897"/>
    <w:rsid w:val="7D8E621E"/>
    <w:rsid w:val="7DB85F4F"/>
    <w:rsid w:val="7DC31D62"/>
    <w:rsid w:val="7E194CEF"/>
    <w:rsid w:val="7E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2025-08-25T08:37:57Z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