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60" w:lineRule="atLeast"/>
        <w:jc w:val="center"/>
        <w:rPr>
          <w:rFonts w:ascii="宋体" w:hAnsi="宋体" w:eastAsia="宋体" w:cs="Arial"/>
          <w:b/>
          <w:color w:val="000000"/>
          <w:kern w:val="0"/>
          <w:szCs w:val="21"/>
        </w:rPr>
      </w:pPr>
      <w:bookmarkStart w:id="0" w:name="_GoBack"/>
      <w:bookmarkEnd w:id="0"/>
      <w:r>
        <w:rPr>
          <w:rFonts w:hint="eastAsia" w:ascii="宋体" w:hAnsi="宋体" w:eastAsia="宋体" w:cs="Arial"/>
          <w:b/>
          <w:color w:val="000000"/>
          <w:kern w:val="0"/>
          <w:szCs w:val="21"/>
        </w:rPr>
        <w:t>关于更新部分理财产品《风险揭示书和说明书》的公告</w:t>
      </w:r>
    </w:p>
    <w:p>
      <w:pPr>
        <w:pStyle w:val="6"/>
        <w:snapToGrid w:val="0"/>
        <w:spacing w:line="460" w:lineRule="atLeast"/>
        <w:rPr>
          <w:rFonts w:cs="Arial"/>
          <w:color w:val="000000"/>
          <w:sz w:val="21"/>
          <w:szCs w:val="21"/>
        </w:rPr>
      </w:pPr>
      <w:r>
        <w:rPr>
          <w:rFonts w:cs="Arial"/>
          <w:color w:val="000000"/>
          <w:sz w:val="21"/>
          <w:szCs w:val="21"/>
        </w:rPr>
        <w:t>尊敬的</w:t>
      </w:r>
      <w:r>
        <w:rPr>
          <w:rFonts w:hint="eastAsia" w:cs="Arial"/>
          <w:color w:val="000000"/>
          <w:sz w:val="21"/>
          <w:szCs w:val="21"/>
        </w:rPr>
        <w:t>客户</w:t>
      </w:r>
      <w:r>
        <w:rPr>
          <w:rFonts w:cs="Arial"/>
          <w:color w:val="000000"/>
          <w:sz w:val="21"/>
          <w:szCs w:val="21"/>
        </w:rPr>
        <w:t>：</w:t>
      </w:r>
    </w:p>
    <w:p>
      <w:pPr>
        <w:widowControl/>
        <w:shd w:val="clear" w:color="auto" w:fill="FFFFFF"/>
        <w:spacing w:before="150" w:after="150"/>
        <w:ind w:firstLine="420" w:firstLineChars="200"/>
        <w:jc w:val="left"/>
        <w:rPr>
          <w:rFonts w:ascii="宋体" w:hAnsi="宋体" w:eastAsia="宋体" w:cs="Arial"/>
          <w:color w:val="000000"/>
          <w:kern w:val="0"/>
          <w:szCs w:val="21"/>
        </w:rPr>
      </w:pPr>
      <w:r>
        <w:rPr>
          <w:rFonts w:hint="eastAsia" w:ascii="宋体" w:hAnsi="宋体" w:eastAsia="宋体" w:cs="Arial"/>
          <w:color w:val="000000"/>
          <w:kern w:val="0"/>
          <w:szCs w:val="21"/>
          <w:lang w:val="en-US" w:eastAsia="zh-CN"/>
        </w:rPr>
        <w:t>为进一步落实客户权益保障的要求，完善理财产品信息披露工作，</w:t>
      </w:r>
      <w:r>
        <w:rPr>
          <w:rFonts w:ascii="宋体" w:hAnsi="宋体" w:eastAsia="宋体" w:cs="Arial"/>
          <w:color w:val="000000"/>
          <w:kern w:val="0"/>
          <w:szCs w:val="21"/>
        </w:rPr>
        <w:t>我公司</w:t>
      </w:r>
      <w:r>
        <w:rPr>
          <w:rFonts w:hint="eastAsia" w:ascii="宋体" w:hAnsi="宋体" w:eastAsia="宋体" w:cs="Arial"/>
          <w:color w:val="000000"/>
          <w:kern w:val="0"/>
          <w:szCs w:val="21"/>
        </w:rPr>
        <w:t>拟于</w:t>
      </w:r>
      <w:r>
        <w:rPr>
          <w:rFonts w:hint="eastAsia" w:ascii="宋体" w:hAnsi="宋体" w:eastAsia="宋体" w:cs="Arial"/>
          <w:color w:val="000000"/>
          <w:kern w:val="0"/>
          <w:szCs w:val="21"/>
          <w:lang w:val="en-US" w:eastAsia="zh-CN"/>
        </w:rPr>
        <w:t>9</w:t>
      </w:r>
      <w:r>
        <w:rPr>
          <w:rFonts w:hint="eastAsia" w:ascii="宋体" w:hAnsi="宋体" w:eastAsia="宋体" w:cs="Arial"/>
          <w:color w:val="000000"/>
          <w:kern w:val="0"/>
          <w:szCs w:val="21"/>
        </w:rPr>
        <w:t>月</w:t>
      </w:r>
      <w:r>
        <w:rPr>
          <w:rFonts w:hint="eastAsia" w:ascii="宋体" w:hAnsi="宋体" w:eastAsia="宋体" w:cs="Arial"/>
          <w:color w:val="000000"/>
          <w:kern w:val="0"/>
          <w:szCs w:val="21"/>
          <w:lang w:val="en-US" w:eastAsia="zh-CN"/>
        </w:rPr>
        <w:t>3</w:t>
      </w:r>
      <w:r>
        <w:rPr>
          <w:rFonts w:ascii="宋体" w:hAnsi="宋体" w:eastAsia="宋体" w:cs="Arial"/>
          <w:color w:val="000000"/>
          <w:kern w:val="0"/>
          <w:szCs w:val="21"/>
        </w:rPr>
        <w:t>0</w:t>
      </w:r>
      <w:r>
        <w:rPr>
          <w:rFonts w:hint="eastAsia" w:ascii="宋体" w:hAnsi="宋体" w:eastAsia="宋体" w:cs="Arial"/>
          <w:color w:val="000000"/>
          <w:kern w:val="0"/>
          <w:szCs w:val="21"/>
        </w:rPr>
        <w:t>日</w:t>
      </w:r>
      <w:r>
        <w:rPr>
          <w:rFonts w:ascii="宋体" w:hAnsi="宋体" w:eastAsia="宋体" w:cs="Arial"/>
          <w:color w:val="000000"/>
          <w:kern w:val="0"/>
          <w:szCs w:val="21"/>
        </w:rPr>
        <w:t>对部分理财产品的</w:t>
      </w:r>
      <w:r>
        <w:rPr>
          <w:rFonts w:hint="eastAsia" w:ascii="宋体" w:hAnsi="宋体" w:eastAsia="宋体" w:cs="Arial"/>
          <w:color w:val="000000"/>
          <w:kern w:val="0"/>
          <w:szCs w:val="21"/>
        </w:rPr>
        <w:t>销售文件</w:t>
      </w:r>
      <w:r>
        <w:rPr>
          <w:rFonts w:ascii="宋体" w:hAnsi="宋体" w:eastAsia="宋体" w:cs="Arial"/>
          <w:color w:val="000000"/>
          <w:kern w:val="0"/>
          <w:szCs w:val="21"/>
        </w:rPr>
        <w:t>进行</w:t>
      </w:r>
      <w:r>
        <w:rPr>
          <w:rFonts w:hint="eastAsia" w:ascii="宋体" w:hAnsi="宋体" w:eastAsia="宋体" w:cs="Arial"/>
          <w:color w:val="000000"/>
          <w:kern w:val="0"/>
          <w:szCs w:val="21"/>
          <w:lang w:val="en-US" w:eastAsia="zh-CN"/>
        </w:rPr>
        <w:t>更新</w:t>
      </w:r>
      <w:r>
        <w:rPr>
          <w:rFonts w:ascii="宋体" w:hAnsi="宋体" w:eastAsia="宋体" w:cs="Arial"/>
          <w:color w:val="000000"/>
          <w:kern w:val="0"/>
          <w:szCs w:val="21"/>
        </w:rPr>
        <w:t>。</w:t>
      </w:r>
      <w:r>
        <w:rPr>
          <w:rFonts w:hint="eastAsia" w:ascii="宋体" w:hAnsi="宋体" w:eastAsia="宋体" w:cs="Arial"/>
          <w:color w:val="000000"/>
          <w:kern w:val="0"/>
          <w:szCs w:val="21"/>
          <w:lang w:val="en-US" w:eastAsia="zh-CN"/>
        </w:rPr>
        <w:t>更新</w:t>
      </w:r>
      <w:r>
        <w:rPr>
          <w:rFonts w:ascii="宋体" w:hAnsi="宋体" w:eastAsia="宋体" w:cs="Arial"/>
          <w:color w:val="000000"/>
          <w:kern w:val="0"/>
          <w:szCs w:val="21"/>
        </w:rPr>
        <w:t>内容主要包括：</w:t>
      </w:r>
    </w:p>
    <w:p>
      <w:pPr>
        <w:widowControl/>
        <w:shd w:val="clear" w:color="auto" w:fill="FFFFFF"/>
        <w:spacing w:before="150" w:after="150"/>
        <w:ind w:firstLine="480"/>
        <w:jc w:val="left"/>
        <w:rPr>
          <w:rFonts w:ascii="宋体" w:hAnsi="宋体" w:eastAsia="宋体" w:cs="Arial"/>
          <w:color w:val="000000"/>
          <w:kern w:val="0"/>
          <w:szCs w:val="21"/>
        </w:rPr>
      </w:pPr>
      <w:r>
        <w:rPr>
          <w:rFonts w:ascii="宋体" w:hAnsi="宋体" w:eastAsia="宋体" w:cs="Arial"/>
          <w:color w:val="000000"/>
          <w:kern w:val="0"/>
          <w:szCs w:val="21"/>
        </w:rPr>
        <w:t>1. 在</w:t>
      </w:r>
      <w:r>
        <w:rPr>
          <w:rFonts w:hint="eastAsia" w:ascii="宋体" w:hAnsi="宋体" w:eastAsia="宋体" w:cs="Arial"/>
          <w:color w:val="000000"/>
          <w:kern w:val="0"/>
          <w:szCs w:val="21"/>
        </w:rPr>
        <w:t>《风险揭示书和说明书》</w:t>
      </w:r>
      <w:r>
        <w:rPr>
          <w:rFonts w:hint="eastAsia" w:ascii="宋体" w:hAnsi="宋体" w:eastAsia="宋体" w:cs="Arial"/>
          <w:color w:val="000000"/>
          <w:kern w:val="0"/>
          <w:szCs w:val="21"/>
          <w:lang w:val="en-US" w:eastAsia="zh-CN"/>
        </w:rPr>
        <w:t>首页</w:t>
      </w:r>
      <w:r>
        <w:rPr>
          <w:rFonts w:ascii="宋体" w:hAnsi="宋体" w:eastAsia="宋体" w:cs="Arial"/>
          <w:color w:val="000000"/>
          <w:kern w:val="0"/>
          <w:szCs w:val="21"/>
        </w:rPr>
        <w:t>中</w:t>
      </w:r>
      <w:r>
        <w:rPr>
          <w:rFonts w:hint="eastAsia" w:ascii="宋体" w:hAnsi="宋体" w:eastAsia="宋体" w:cs="Arial"/>
          <w:color w:val="000000"/>
          <w:kern w:val="0"/>
          <w:szCs w:val="21"/>
        </w:rPr>
        <w:t>向投资者披露“本产品由建信理财有限责任公司发行与管理，代销机构不承担产品的投资和兑付责任”。</w:t>
      </w:r>
    </w:p>
    <w:p>
      <w:pPr>
        <w:widowControl/>
        <w:shd w:val="clear" w:color="auto" w:fill="FFFFFF"/>
        <w:spacing w:before="150" w:after="150"/>
        <w:ind w:firstLine="480"/>
        <w:jc w:val="left"/>
        <w:rPr>
          <w:rFonts w:hint="eastAsia" w:ascii="宋体" w:hAnsi="宋体" w:eastAsia="宋体" w:cs="Arial"/>
          <w:color w:val="000000"/>
          <w:kern w:val="0"/>
          <w:szCs w:val="21"/>
          <w:lang w:val="en-US" w:eastAsia="zh-CN"/>
        </w:rPr>
      </w:pPr>
      <w:r>
        <w:rPr>
          <w:rFonts w:ascii="宋体" w:hAnsi="宋体" w:eastAsia="宋体" w:cs="Arial"/>
          <w:color w:val="000000"/>
          <w:kern w:val="0"/>
          <w:szCs w:val="21"/>
        </w:rPr>
        <w:t xml:space="preserve">2. </w:t>
      </w:r>
      <w:r>
        <w:rPr>
          <w:rFonts w:hint="eastAsia" w:ascii="宋体" w:hAnsi="宋体" w:eastAsia="宋体" w:cs="Arial"/>
          <w:color w:val="000000"/>
          <w:kern w:val="0"/>
          <w:szCs w:val="21"/>
          <w:lang w:val="en-US" w:eastAsia="zh-CN"/>
        </w:rPr>
        <w:t>进一步明确产品清算期的利息归属，增加如下表述：</w:t>
      </w:r>
    </w:p>
    <w:p>
      <w:pPr>
        <w:widowControl/>
        <w:shd w:val="clear" w:color="auto" w:fill="FFFFFF"/>
        <w:spacing w:before="150" w:after="150"/>
        <w:ind w:firstLine="480"/>
        <w:jc w:val="left"/>
        <w:rPr>
          <w:rFonts w:hint="eastAsia" w:ascii="宋体" w:hAnsi="宋体" w:eastAsia="宋体" w:cs="Arial"/>
          <w:color w:val="000000"/>
          <w:kern w:val="0"/>
          <w:szCs w:val="21"/>
          <w:lang w:val="en-US" w:eastAsia="zh-CN"/>
        </w:rPr>
      </w:pPr>
      <w:r>
        <w:rPr>
          <w:rFonts w:hint="eastAsia" w:ascii="宋体" w:hAnsi="宋体" w:eastAsia="宋体" w:cs="Arial"/>
          <w:color w:val="000000"/>
          <w:kern w:val="0"/>
          <w:szCs w:val="21"/>
          <w:lang w:val="en-US" w:eastAsia="zh-CN"/>
        </w:rPr>
        <w:t>“提前终止日至资金实际到账日之间产生的利息（如有）归投资者所有。如产品兑付后发生归属于投资者的资金回款等情形，产品管理人将按照产品提前终止时投资者持仓份额比例兑付至投资者约定交易账户。”</w:t>
      </w:r>
    </w:p>
    <w:p>
      <w:pPr>
        <w:widowControl/>
        <w:shd w:val="clear" w:color="auto" w:fill="FFFFFF"/>
        <w:spacing w:before="150" w:after="150"/>
        <w:ind w:firstLine="480"/>
        <w:jc w:val="left"/>
        <w:rPr>
          <w:rFonts w:hint="eastAsia" w:ascii="宋体" w:hAnsi="宋体" w:eastAsia="宋体" w:cs="Arial"/>
          <w:color w:val="000000"/>
          <w:kern w:val="0"/>
          <w:szCs w:val="21"/>
          <w:lang w:val="en-US" w:eastAsia="zh-CN"/>
        </w:rPr>
      </w:pPr>
      <w:r>
        <w:rPr>
          <w:rFonts w:ascii="宋体" w:hAnsi="宋体" w:eastAsia="宋体" w:cs="Arial"/>
          <w:color w:val="000000"/>
          <w:kern w:val="0"/>
          <w:szCs w:val="21"/>
        </w:rPr>
        <w:t xml:space="preserve">3. </w:t>
      </w:r>
      <w:r>
        <w:rPr>
          <w:rFonts w:hint="eastAsia" w:ascii="宋体" w:hAnsi="宋体" w:eastAsia="宋体" w:cs="Arial"/>
          <w:color w:val="000000"/>
          <w:kern w:val="0"/>
          <w:szCs w:val="21"/>
          <w:lang w:val="en-US" w:eastAsia="zh-CN"/>
        </w:rPr>
        <w:t>增加部分信息披露渠道，修改后的信息披露渠道如下：</w:t>
      </w:r>
    </w:p>
    <w:p>
      <w:pPr>
        <w:widowControl/>
        <w:shd w:val="clear" w:color="auto" w:fill="FFFFFF"/>
        <w:spacing w:before="150" w:after="150"/>
        <w:ind w:firstLine="480"/>
        <w:jc w:val="left"/>
        <w:rPr>
          <w:rFonts w:hint="default" w:ascii="宋体" w:hAnsi="宋体" w:eastAsia="宋体" w:cs="Arial"/>
          <w:color w:val="000000"/>
          <w:kern w:val="0"/>
          <w:szCs w:val="21"/>
          <w:lang w:val="en-US" w:eastAsia="zh-CN"/>
        </w:rPr>
      </w:pPr>
      <w:r>
        <w:rPr>
          <w:rFonts w:hint="eastAsia" w:ascii="宋体" w:hAnsi="宋体" w:eastAsia="宋体" w:cs="Arial"/>
          <w:color w:val="000000"/>
          <w:kern w:val="0"/>
          <w:szCs w:val="21"/>
          <w:lang w:val="en-US" w:eastAsia="zh-CN"/>
        </w:rPr>
        <w:t>“</w:t>
      </w:r>
      <w:r>
        <w:rPr>
          <w:rFonts w:hint="default" w:ascii="宋体" w:hAnsi="宋体" w:eastAsia="宋体" w:cs="Arial"/>
          <w:color w:val="000000"/>
          <w:kern w:val="0"/>
          <w:szCs w:val="21"/>
          <w:lang w:val="en-US" w:eastAsia="zh-CN"/>
        </w:rPr>
        <w:t>产品管理人通过管理人网站（www.wealthccb.com）、代销机构官方渠道（如官方网站/网上银行/手机银行/营业网点）或行业统一信息披露渠道如中国理财网（www.chinawealth.com.cn）等对本产品进行信息披露（将使用其中一种或多种渠道进行信息披露）</w:t>
      </w:r>
      <w:r>
        <w:rPr>
          <w:rFonts w:hint="eastAsia" w:ascii="宋体" w:hAnsi="宋体" w:eastAsia="宋体" w:cs="Arial"/>
          <w:color w:val="000000"/>
          <w:kern w:val="0"/>
          <w:szCs w:val="21"/>
          <w:lang w:val="en-US" w:eastAsia="zh-CN"/>
        </w:rPr>
        <w:t>”</w:t>
      </w:r>
    </w:p>
    <w:p>
      <w:pPr>
        <w:widowControl/>
        <w:shd w:val="clear" w:color="auto" w:fill="FFFFFF"/>
        <w:spacing w:before="150" w:after="150"/>
        <w:ind w:firstLine="480"/>
        <w:jc w:val="left"/>
        <w:rPr>
          <w:rFonts w:ascii="宋体" w:hAnsi="宋体" w:eastAsia="宋体" w:cs="Arial"/>
          <w:color w:val="000000"/>
          <w:kern w:val="0"/>
          <w:szCs w:val="21"/>
        </w:rPr>
      </w:pPr>
      <w:r>
        <w:rPr>
          <w:rFonts w:hint="eastAsia" w:ascii="宋体" w:hAnsi="宋体" w:eastAsia="宋体" w:cs="Arial"/>
          <w:color w:val="000000"/>
          <w:kern w:val="0"/>
          <w:szCs w:val="21"/>
        </w:rPr>
        <w:t>所涉及的理财产品清单详见</w:t>
      </w:r>
      <w:r>
        <w:rPr>
          <w:rFonts w:hint="eastAsia" w:ascii="宋体" w:hAnsi="宋体" w:eastAsia="宋体" w:cs="Arial"/>
          <w:color w:val="000000"/>
          <w:kern w:val="0"/>
          <w:szCs w:val="21"/>
          <w:lang w:val="en-US" w:eastAsia="zh-CN"/>
        </w:rPr>
        <w:t>附</w:t>
      </w:r>
      <w:r>
        <w:rPr>
          <w:rFonts w:hint="eastAsia" w:ascii="宋体" w:hAnsi="宋体" w:eastAsia="宋体" w:cs="Arial"/>
          <w:color w:val="000000"/>
          <w:kern w:val="0"/>
          <w:szCs w:val="21"/>
        </w:rPr>
        <w:t>表，</w:t>
      </w:r>
      <w:r>
        <w:rPr>
          <w:rFonts w:ascii="宋体" w:hAnsi="宋体" w:eastAsia="宋体" w:cs="Arial"/>
          <w:color w:val="000000"/>
          <w:kern w:val="0"/>
          <w:szCs w:val="21"/>
        </w:rPr>
        <w:t>具体更新内容详见各理财产品的</w:t>
      </w:r>
      <w:r>
        <w:rPr>
          <w:rFonts w:hint="eastAsia" w:ascii="宋体" w:hAnsi="宋体" w:eastAsia="宋体" w:cs="Arial"/>
          <w:color w:val="000000"/>
          <w:kern w:val="0"/>
          <w:szCs w:val="21"/>
        </w:rPr>
        <w:t>《风险揭示书和说明书》</w:t>
      </w:r>
      <w:r>
        <w:rPr>
          <w:rFonts w:ascii="宋体" w:hAnsi="宋体" w:eastAsia="宋体" w:cs="Arial"/>
          <w:color w:val="000000"/>
          <w:kern w:val="0"/>
          <w:szCs w:val="21"/>
        </w:rPr>
        <w:t>。</w:t>
      </w:r>
    </w:p>
    <w:p>
      <w:pPr>
        <w:widowControl/>
        <w:shd w:val="clear" w:color="auto" w:fill="FFFFFF"/>
        <w:spacing w:before="150" w:after="150"/>
        <w:ind w:firstLine="480"/>
        <w:jc w:val="left"/>
        <w:rPr>
          <w:rFonts w:ascii="宋体" w:hAnsi="宋体" w:eastAsia="宋体" w:cs="Arial"/>
          <w:color w:val="000000"/>
          <w:kern w:val="0"/>
          <w:szCs w:val="21"/>
        </w:rPr>
      </w:pPr>
      <w:r>
        <w:rPr>
          <w:rFonts w:hint="eastAsia" w:ascii="宋体" w:hAnsi="宋体" w:eastAsia="宋体" w:cs="Arial"/>
          <w:color w:val="000000"/>
          <w:kern w:val="0"/>
          <w:szCs w:val="21"/>
        </w:rPr>
        <w:t>特此公告。</w:t>
      </w:r>
    </w:p>
    <w:p>
      <w:pPr>
        <w:widowControl/>
        <w:shd w:val="clear" w:color="auto" w:fill="FFFFFF"/>
        <w:spacing w:before="150" w:after="150"/>
        <w:ind w:firstLine="480"/>
        <w:jc w:val="left"/>
        <w:rPr>
          <w:rFonts w:hint="eastAsia" w:ascii="宋体" w:hAnsi="宋体" w:eastAsia="宋体" w:cs="Arial"/>
          <w:color w:val="000000"/>
          <w:kern w:val="0"/>
          <w:szCs w:val="21"/>
          <w:lang w:val="en-US" w:eastAsia="zh-CN"/>
        </w:rPr>
      </w:pPr>
      <w:r>
        <w:rPr>
          <w:rFonts w:hint="eastAsia" w:ascii="宋体" w:hAnsi="宋体" w:eastAsia="宋体" w:cs="Arial"/>
          <w:color w:val="000000"/>
          <w:kern w:val="0"/>
          <w:szCs w:val="21"/>
          <w:lang w:val="en-US" w:eastAsia="zh-CN"/>
        </w:rPr>
        <w:t>附件：《产品清单》</w:t>
      </w:r>
    </w:p>
    <w:p>
      <w:pPr>
        <w:widowControl/>
        <w:shd w:val="clear" w:color="auto" w:fill="FFFFFF"/>
        <w:spacing w:before="150" w:after="150"/>
        <w:ind w:firstLine="480"/>
        <w:jc w:val="right"/>
        <w:rPr>
          <w:rFonts w:ascii="Verdana" w:hAnsi="Verdana" w:eastAsia="宋体" w:cs="宋体"/>
          <w:color w:val="535353"/>
          <w:kern w:val="0"/>
          <w:szCs w:val="21"/>
        </w:rPr>
      </w:pPr>
    </w:p>
    <w:p>
      <w:pPr>
        <w:widowControl/>
        <w:shd w:val="clear" w:color="auto" w:fill="FFFFFF"/>
        <w:spacing w:before="150" w:after="150"/>
        <w:ind w:firstLine="480"/>
        <w:jc w:val="right"/>
        <w:rPr>
          <w:rFonts w:ascii="Verdana" w:hAnsi="Verdana" w:eastAsia="宋体" w:cs="宋体"/>
          <w:color w:val="535353"/>
          <w:kern w:val="0"/>
          <w:szCs w:val="21"/>
        </w:rPr>
      </w:pPr>
    </w:p>
    <w:p>
      <w:pPr>
        <w:widowControl/>
        <w:shd w:val="clear" w:color="auto" w:fill="FFFFFF"/>
        <w:spacing w:before="150" w:after="150"/>
        <w:ind w:firstLine="480"/>
        <w:jc w:val="righ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建信理财有限责任公司</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202</w:t>
      </w:r>
      <w:r>
        <w:rPr>
          <w:rFonts w:hint="eastAsia" w:ascii="宋体" w:hAnsi="宋体" w:eastAsia="宋体" w:cs="宋体"/>
          <w:color w:val="000000" w:themeColor="text1"/>
          <w:kern w:val="0"/>
          <w:szCs w:val="21"/>
          <w:lang w:val="en-US" w:eastAsia="zh-CN"/>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年</w:t>
      </w:r>
      <w:r>
        <w:rPr>
          <w:rFonts w:hint="eastAsia" w:ascii="宋体" w:hAnsi="宋体" w:eastAsia="宋体" w:cs="宋体"/>
          <w:color w:val="000000" w:themeColor="text1"/>
          <w:kern w:val="0"/>
          <w:szCs w:val="21"/>
          <w:lang w:val="en-US" w:eastAsia="zh-CN"/>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月</w:t>
      </w:r>
      <w:r>
        <w:rPr>
          <w:rFonts w:hint="eastAsia" w:ascii="宋体" w:hAnsi="宋体" w:eastAsia="宋体" w:cs="宋体"/>
          <w:color w:val="000000" w:themeColor="text1"/>
          <w:kern w:val="0"/>
          <w:szCs w:val="21"/>
          <w:lang w:val="en-US" w:eastAsia="zh-CN"/>
          <w14:textFill>
            <w14:solidFill>
              <w14:schemeClr w14:val="tx1"/>
            </w14:solidFill>
          </w14:textFill>
        </w:rPr>
        <w:t>28</w:t>
      </w:r>
      <w:r>
        <w:rPr>
          <w:rFonts w:hint="eastAsia" w:ascii="宋体" w:hAnsi="宋体" w:eastAsia="宋体" w:cs="宋体"/>
          <w:color w:val="000000" w:themeColor="text1"/>
          <w:kern w:val="0"/>
          <w:szCs w:val="21"/>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77"/>
    <w:rsid w:val="0005257A"/>
    <w:rsid w:val="000672C2"/>
    <w:rsid w:val="000B22EB"/>
    <w:rsid w:val="001511B3"/>
    <w:rsid w:val="001646A4"/>
    <w:rsid w:val="00184175"/>
    <w:rsid w:val="001B1F7B"/>
    <w:rsid w:val="001C5682"/>
    <w:rsid w:val="002002CC"/>
    <w:rsid w:val="002B2711"/>
    <w:rsid w:val="002C16CD"/>
    <w:rsid w:val="0030605B"/>
    <w:rsid w:val="003146F9"/>
    <w:rsid w:val="003A564D"/>
    <w:rsid w:val="003E6D27"/>
    <w:rsid w:val="00457D5D"/>
    <w:rsid w:val="004A47E3"/>
    <w:rsid w:val="004B28FF"/>
    <w:rsid w:val="004C64B0"/>
    <w:rsid w:val="00541C13"/>
    <w:rsid w:val="006039C1"/>
    <w:rsid w:val="00603EC4"/>
    <w:rsid w:val="0061668D"/>
    <w:rsid w:val="006F62AC"/>
    <w:rsid w:val="0073559D"/>
    <w:rsid w:val="00735ADF"/>
    <w:rsid w:val="00754790"/>
    <w:rsid w:val="0080668F"/>
    <w:rsid w:val="00872B42"/>
    <w:rsid w:val="008D21AC"/>
    <w:rsid w:val="00971F52"/>
    <w:rsid w:val="0099215E"/>
    <w:rsid w:val="0099756A"/>
    <w:rsid w:val="009A5FA5"/>
    <w:rsid w:val="009B5E77"/>
    <w:rsid w:val="009C22C1"/>
    <w:rsid w:val="009F3010"/>
    <w:rsid w:val="00A211B7"/>
    <w:rsid w:val="00AF3012"/>
    <w:rsid w:val="00B775E7"/>
    <w:rsid w:val="00BC3DC6"/>
    <w:rsid w:val="00C414F9"/>
    <w:rsid w:val="00C60F7B"/>
    <w:rsid w:val="00CC75B6"/>
    <w:rsid w:val="00D1421F"/>
    <w:rsid w:val="00D41FD6"/>
    <w:rsid w:val="00E207AD"/>
    <w:rsid w:val="00E43B6B"/>
    <w:rsid w:val="00F10164"/>
    <w:rsid w:val="00F43388"/>
    <w:rsid w:val="00FC47DD"/>
    <w:rsid w:val="00FD643B"/>
    <w:rsid w:val="00FE3D11"/>
    <w:rsid w:val="16854514"/>
    <w:rsid w:val="2DB35EDB"/>
    <w:rsid w:val="3D483969"/>
    <w:rsid w:val="49F3254C"/>
    <w:rsid w:val="4A756C4F"/>
    <w:rsid w:val="4CF9797B"/>
    <w:rsid w:val="5435198C"/>
    <w:rsid w:val="65E14321"/>
    <w:rsid w:val="68F26604"/>
    <w:rsid w:val="762A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468</Words>
  <Characters>513</Characters>
  <Lines>27</Lines>
  <Paragraphs>7</Paragraphs>
  <TotalTime>1095</TotalTime>
  <ScaleCrop>false</ScaleCrop>
  <LinksUpToDate>false</LinksUpToDate>
  <CharactersWithSpaces>516</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2022-04-29T07:22:00Z</dcterms:created>
  <dc:creator>谭晨颖</dc:creator>
  <cp:lastModifiedBy>jxlc</cp:lastModifiedBy>
  <dcterms:modified xsi:type="dcterms:W3CDTF">2025-09-28T06:59:47Z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CBC79B9EB1D948A5B65E86F0FED44A2C_13</vt:lpwstr>
  </property>
  <property fmtid="{D5CDD505-2E9C-101B-9397-08002B2CF9AE}" pid="4" name="KSOTemplateDocerSaveRecord">
    <vt:lpwstr>eyJoZGlkIjoiNGY0NDhhYzNkZDI1NGY5NWQ4ZmFlNDJkZGUzNDVkMTEiLCJ1c2VySWQiOiIyMTg5MzYzOTMifQ==</vt:lpwstr>
  </property>
</Properties>
</file>