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4E5" w:rsidRDefault="000B60F6" w:rsidP="00F648AA">
      <w:pPr>
        <w:spacing w:line="630" w:lineRule="atLeast"/>
        <w:jc w:val="center"/>
        <w:divId w:val="662898029"/>
        <w:rPr>
          <w:b/>
          <w:bCs/>
          <w:sz w:val="32"/>
          <w:szCs w:val="32"/>
        </w:rPr>
      </w:pPr>
      <w:r>
        <w:rPr>
          <w:rFonts w:hint="eastAsia"/>
          <w:b/>
          <w:bCs/>
          <w:sz w:val="32"/>
          <w:szCs w:val="32"/>
        </w:rPr>
        <w:t>建信理财嘉鑫固收类封闭式产品2024年第451期2024年四季度</w:t>
      </w:r>
      <w:r w:rsidR="00F648AA" w:rsidRPr="001A2FC4">
        <w:rPr>
          <w:rFonts w:hint="eastAsia"/>
          <w:b/>
          <w:bCs/>
          <w:sz w:val="32"/>
          <w:szCs w:val="32"/>
        </w:rPr>
        <w:t>关联交易信息披露公告</w:t>
      </w:r>
    </w:p>
    <w:p w:rsidR="00A424E5" w:rsidRDefault="000B60F6">
      <w:pPr>
        <w:jc w:val="center"/>
        <w:divId w:val="714812634"/>
        <w:rPr>
          <w:sz w:val="21"/>
          <w:szCs w:val="21"/>
        </w:rPr>
      </w:pPr>
      <w:r>
        <w:rPr>
          <w:rFonts w:hint="eastAsia"/>
          <w:sz w:val="21"/>
          <w:szCs w:val="21"/>
        </w:rPr>
        <w:t>报告日：2024年12月31日</w:t>
      </w:r>
    </w:p>
    <w:p w:rsidR="00A424E5" w:rsidRDefault="000B60F6" w:rsidP="00F648AA">
      <w:pPr>
        <w:spacing w:line="555" w:lineRule="atLeast"/>
        <w:divId w:val="946931044"/>
        <w:rPr>
          <w:b/>
          <w:bCs/>
          <w:sz w:val="28"/>
          <w:szCs w:val="28"/>
        </w:rPr>
      </w:pPr>
      <w:r>
        <w:rPr>
          <w:rFonts w:hint="eastAsia"/>
          <w:sz w:val="28"/>
          <w:szCs w:val="28"/>
        </w:rPr>
        <w:t>  </w:t>
      </w:r>
      <w:r w:rsidR="00F648AA">
        <w:rPr>
          <w:rFonts w:hint="eastAsia"/>
          <w:sz w:val="28"/>
          <w:szCs w:val="28"/>
        </w:rPr>
        <w:t>截至报告日，</w:t>
      </w:r>
      <w:r>
        <w:rPr>
          <w:rFonts w:hint="eastAsia"/>
          <w:sz w:val="28"/>
          <w:szCs w:val="28"/>
        </w:rPr>
        <w:t>建信理财嘉鑫固收类封闭式产品2024年第451期</w:t>
      </w:r>
      <w:r w:rsidR="00F648AA">
        <w:rPr>
          <w:rFonts w:hint="eastAsia"/>
          <w:sz w:val="28"/>
          <w:szCs w:val="28"/>
        </w:rPr>
        <w:t>关联交易信息如下：</w:t>
      </w:r>
      <w:r>
        <w:rPr>
          <w:rFonts w:hint="eastAsia"/>
          <w:b/>
          <w:bCs/>
          <w:sz w:val="28"/>
          <w:szCs w:val="28"/>
        </w:rPr>
        <w:t>  </w:t>
      </w:r>
      <w:r w:rsidR="00F648AA">
        <w:rPr>
          <w:rFonts w:hint="eastAsia"/>
          <w:b/>
          <w:bCs/>
          <w:sz w:val="28"/>
          <w:szCs w:val="28"/>
        </w:rPr>
        <w:t xml:space="preserve"> </w:t>
      </w:r>
    </w:p>
    <w:p w:rsidR="00A424E5" w:rsidRDefault="000B60F6">
      <w:pPr>
        <w:spacing w:line="555" w:lineRule="atLeast"/>
        <w:divId w:val="127210104"/>
        <w:rPr>
          <w:sz w:val="28"/>
          <w:szCs w:val="28"/>
        </w:rPr>
      </w:pPr>
      <w:r>
        <w:rPr>
          <w:rFonts w:hint="eastAsia"/>
          <w:sz w:val="28"/>
          <w:szCs w:val="28"/>
        </w:rPr>
        <w:t>  </w:t>
      </w:r>
      <w:r w:rsidR="00F648AA">
        <w:rPr>
          <w:rFonts w:hint="eastAsia"/>
          <w:sz w:val="28"/>
          <w:szCs w:val="28"/>
        </w:rPr>
        <w:t>一、</w:t>
      </w:r>
      <w:r>
        <w:rPr>
          <w:rFonts w:hint="eastAsia"/>
          <w:sz w:val="28"/>
          <w:szCs w:val="28"/>
        </w:rPr>
        <w:t>理财产品投资与本公司或托管机构有重大利害关系的机构发行或承销的证券</w:t>
      </w:r>
    </w:p>
    <w:tbl>
      <w:tblPr>
        <w:tblW w:w="5000" w:type="pct"/>
        <w:tblCellMar>
          <w:top w:w="15" w:type="dxa"/>
          <w:left w:w="15" w:type="dxa"/>
          <w:bottom w:w="15" w:type="dxa"/>
          <w:right w:w="15" w:type="dxa"/>
        </w:tblCellMar>
        <w:tblLook w:val="04A0" w:firstRow="1" w:lastRow="0" w:firstColumn="1" w:lastColumn="0" w:noHBand="0" w:noVBand="1"/>
      </w:tblPr>
      <w:tblGrid>
        <w:gridCol w:w="514"/>
        <w:gridCol w:w="1044"/>
        <w:gridCol w:w="1022"/>
        <w:gridCol w:w="1290"/>
        <w:gridCol w:w="1181"/>
        <w:gridCol w:w="899"/>
        <w:gridCol w:w="1170"/>
        <w:gridCol w:w="1170"/>
      </w:tblGrid>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序号</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证券简称</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证券类别</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证券代码</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交易数量</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交易净价</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关联方名称</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关联方角色</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22光大银行</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2228050.IB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2,048</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100.6164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23兴业银行小微债01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2328021.IB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2,048</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101.0588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3</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21工商银行永续债02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2128044.IB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1,024</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103.4068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4</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21工商银行永续债01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2128021.IB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4,097</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103.2034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5</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24光大银行小微债</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212400004.IB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7,170</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100.5397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6</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23光大银行债01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212380005.IB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1,024</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101.1739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lastRenderedPageBreak/>
              <w:t>7</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20农业银行永续债01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2028017.IB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9,218</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101.1924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8</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24交行债01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212480013.IB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4,097</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100.7414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9</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21进出16</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政策性金融债券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210316.IB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2,048</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103.2438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21中国银行永续债01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2128019.IB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4,097</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103.0718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11</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20中国银行永续债03</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2028053.IB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2,048</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102.7708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12</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22粤珠江MTN001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102280694.IB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3,072</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100.2332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13</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20农业银行永续债02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2028032.IB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5,121</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102.9282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14</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22前海河钢ABN001优先</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资产支持证券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082280208.IB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20,466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15</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22国贸房产MTN001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102281839.IB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7,674</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16</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22岳阳城投MTN001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102281970.IB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33,257</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lastRenderedPageBreak/>
              <w:t>17</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22义乌国资MTN004</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102282175.IB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2,558</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18</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22兴业银行二级01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2228003.IB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14,464</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103.1160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19</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21兴业银行二级01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2128032.IB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103.8334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20工商银行二级02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2028049.IB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102.1853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20工商银行二级01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2028041.IB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6,199</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102.5349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21工商银行二级01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2128002.IB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3,443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102.9545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23</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22杭州湾新MTN002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102281484.IB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688</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98.9011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24</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22奔驰财务MTN002BC</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102281316.IB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99.0615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25</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22中交疏浚MTN002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102282441.IB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98.4488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26</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22华能MTN009</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102282245.IB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1,377</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98.5028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27</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22国开行二级资本债01A</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政策性金融债券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092202005.IB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22,729</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101.9461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lastRenderedPageBreak/>
              <w:t>28</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22浙江旅投MTN002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102281640.IB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688</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97.8628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29</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23华电股MTN004</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102380994.IB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2,066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30</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21兴业银行二级02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2128042.IB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2,755</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103.0189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r w:rsidR="00A424E5" w:rsidTr="00F648AA">
        <w:trPr>
          <w:divId w:val="2010670834"/>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31</w:t>
            </w:r>
          </w:p>
        </w:tc>
        <w:tc>
          <w:tcPr>
            <w:tcW w:w="10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22招商公路MTN002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102282074.IB</w:t>
            </w:r>
          </w:p>
        </w:tc>
        <w:tc>
          <w:tcPr>
            <w:tcW w:w="11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688</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98.7452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24E5" w:rsidRDefault="000B60F6">
            <w:pPr>
              <w:jc w:val="center"/>
              <w:rPr>
                <w:color w:val="666666"/>
                <w:sz w:val="21"/>
                <w:szCs w:val="21"/>
              </w:rPr>
            </w:pPr>
            <w:r>
              <w:rPr>
                <w:rFonts w:hint="eastAsia"/>
                <w:color w:val="666666"/>
                <w:sz w:val="21"/>
                <w:szCs w:val="21"/>
              </w:rPr>
              <w:t>主承销商或联席承销商,承销团成员</w:t>
            </w:r>
          </w:p>
        </w:tc>
      </w:tr>
    </w:tbl>
    <w:p w:rsidR="00F648AA" w:rsidRDefault="00F648AA" w:rsidP="00F648AA">
      <w:pPr>
        <w:spacing w:line="555" w:lineRule="atLeast"/>
        <w:ind w:firstLineChars="200" w:firstLine="560"/>
        <w:divId w:val="59527532"/>
        <w:rPr>
          <w:sz w:val="28"/>
          <w:szCs w:val="28"/>
        </w:rPr>
      </w:pPr>
      <w:r>
        <w:rPr>
          <w:rStyle w:val="titleeight2"/>
          <w:rFonts w:hint="eastAsia"/>
          <w:sz w:val="28"/>
          <w:szCs w:val="28"/>
        </w:rPr>
        <w:t>二、理财产品投资关联方发行的资产管理产品</w:t>
      </w:r>
    </w:p>
    <w:tbl>
      <w:tblPr>
        <w:tblW w:w="4746" w:type="pct"/>
        <w:jc w:val="center"/>
        <w:tblLook w:val="04A0" w:firstRow="1" w:lastRow="0" w:firstColumn="1" w:lastColumn="0" w:noHBand="0" w:noVBand="1"/>
      </w:tblPr>
      <w:tblGrid>
        <w:gridCol w:w="1080"/>
        <w:gridCol w:w="2082"/>
        <w:gridCol w:w="944"/>
        <w:gridCol w:w="1559"/>
        <w:gridCol w:w="851"/>
        <w:gridCol w:w="1359"/>
      </w:tblGrid>
      <w:tr w:rsidR="00554740" w:rsidRPr="00FC119F" w:rsidTr="00554740">
        <w:trPr>
          <w:divId w:val="59527532"/>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54740" w:rsidRPr="00FC119F" w:rsidRDefault="00554740" w:rsidP="007151DE">
            <w:pPr>
              <w:jc w:val="center"/>
              <w:rPr>
                <w:rFonts w:cs="Times New Roman"/>
                <w:color w:val="666666"/>
                <w:sz w:val="21"/>
                <w:szCs w:val="21"/>
              </w:rPr>
            </w:pPr>
            <w:r w:rsidRPr="00FC119F">
              <w:rPr>
                <w:rFonts w:cs="Times New Roman" w:hint="eastAsia"/>
                <w:color w:val="666666"/>
                <w:sz w:val="21"/>
                <w:szCs w:val="21"/>
              </w:rPr>
              <w:t>日期</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54740" w:rsidRPr="00FC119F" w:rsidRDefault="00554740" w:rsidP="007151DE">
            <w:pPr>
              <w:jc w:val="center"/>
              <w:rPr>
                <w:rFonts w:cs="Times New Roman"/>
                <w:color w:val="666666"/>
                <w:sz w:val="21"/>
                <w:szCs w:val="21"/>
              </w:rPr>
            </w:pPr>
            <w:r w:rsidRPr="00FC119F">
              <w:rPr>
                <w:rFonts w:cs="Times New Roman" w:hint="eastAsia"/>
                <w:color w:val="666666"/>
                <w:sz w:val="21"/>
                <w:szCs w:val="21"/>
              </w:rPr>
              <w:t>资产管理产品名称</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54740" w:rsidRPr="00FC119F" w:rsidRDefault="00554740" w:rsidP="007151DE">
            <w:pPr>
              <w:jc w:val="center"/>
              <w:rPr>
                <w:rFonts w:cs="Times New Roman"/>
                <w:color w:val="666666"/>
                <w:sz w:val="21"/>
                <w:szCs w:val="21"/>
              </w:rPr>
            </w:pPr>
            <w:r w:rsidRPr="00FC119F">
              <w:rPr>
                <w:rFonts w:cs="Times New Roman" w:hint="eastAsia"/>
                <w:color w:val="666666"/>
                <w:sz w:val="21"/>
                <w:szCs w:val="21"/>
              </w:rPr>
              <w:t>投资类型</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54740" w:rsidRPr="00FC119F" w:rsidRDefault="00554740" w:rsidP="007151DE">
            <w:pPr>
              <w:jc w:val="center"/>
              <w:rPr>
                <w:rFonts w:cs="Times New Roman"/>
                <w:color w:val="666666"/>
                <w:sz w:val="21"/>
                <w:szCs w:val="21"/>
              </w:rPr>
            </w:pPr>
            <w:r w:rsidRPr="00FC119F">
              <w:rPr>
                <w:rFonts w:cs="Times New Roman" w:hint="eastAsia"/>
                <w:color w:val="666666"/>
                <w:sz w:val="21"/>
                <w:szCs w:val="21"/>
              </w:rPr>
              <w:t>金额</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54740" w:rsidRPr="00FC119F" w:rsidRDefault="00554740" w:rsidP="007151DE">
            <w:pPr>
              <w:jc w:val="center"/>
              <w:rPr>
                <w:rFonts w:cs="Times New Roman"/>
                <w:color w:val="666666"/>
                <w:sz w:val="21"/>
                <w:szCs w:val="21"/>
              </w:rPr>
            </w:pPr>
            <w:r w:rsidRPr="00FC119F">
              <w:rPr>
                <w:rFonts w:cs="Times New Roman" w:hint="eastAsia"/>
                <w:color w:val="666666"/>
                <w:sz w:val="21"/>
                <w:szCs w:val="21"/>
              </w:rPr>
              <w:t>份额</w:t>
            </w: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54740" w:rsidRPr="00FC119F" w:rsidRDefault="00554740" w:rsidP="007151DE">
            <w:pPr>
              <w:jc w:val="center"/>
              <w:rPr>
                <w:rFonts w:cs="Times New Roman"/>
                <w:color w:val="666666"/>
                <w:sz w:val="21"/>
                <w:szCs w:val="21"/>
              </w:rPr>
            </w:pPr>
            <w:r w:rsidRPr="00FC119F">
              <w:rPr>
                <w:rFonts w:cs="Times New Roman" w:hint="eastAsia"/>
                <w:color w:val="666666"/>
                <w:sz w:val="21"/>
                <w:szCs w:val="21"/>
              </w:rPr>
              <w:t>关联方名称</w:t>
            </w:r>
          </w:p>
        </w:tc>
      </w:tr>
      <w:tr w:rsidR="00554740" w:rsidRPr="00FC119F" w:rsidTr="00554740">
        <w:trPr>
          <w:divId w:val="59527532"/>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54740" w:rsidRPr="00FC119F" w:rsidRDefault="00554740" w:rsidP="007151DE">
            <w:pPr>
              <w:jc w:val="center"/>
              <w:rPr>
                <w:sz w:val="21"/>
                <w:szCs w:val="21"/>
              </w:rPr>
            </w:pPr>
            <w:r w:rsidRPr="00FC119F">
              <w:rPr>
                <w:rFonts w:hint="eastAsia"/>
                <w:sz w:val="21"/>
                <w:szCs w:val="21"/>
              </w:rPr>
              <w:t>2024/1</w:t>
            </w:r>
            <w:r>
              <w:rPr>
                <w:rFonts w:hint="eastAsia"/>
                <w:sz w:val="21"/>
                <w:szCs w:val="21"/>
              </w:rPr>
              <w:t>1</w:t>
            </w:r>
            <w:r w:rsidRPr="00FC119F">
              <w:rPr>
                <w:rFonts w:hint="eastAsia"/>
                <w:sz w:val="21"/>
                <w:szCs w:val="21"/>
              </w:rPr>
              <w:t>/</w:t>
            </w:r>
            <w:r>
              <w:rPr>
                <w:rFonts w:hint="eastAsia"/>
                <w:sz w:val="21"/>
                <w:szCs w:val="21"/>
              </w:rPr>
              <w:t>6</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554740" w:rsidRPr="00FC119F" w:rsidRDefault="00554740" w:rsidP="007151DE">
            <w:pPr>
              <w:rPr>
                <w:sz w:val="21"/>
                <w:szCs w:val="21"/>
              </w:rPr>
            </w:pPr>
            <w:r w:rsidRPr="00554740">
              <w:rPr>
                <w:rFonts w:hint="eastAsia"/>
                <w:sz w:val="21"/>
                <w:szCs w:val="21"/>
              </w:rPr>
              <w:t>建信基金慧享</w:t>
            </w:r>
            <w:r w:rsidRPr="00554740">
              <w:rPr>
                <w:sz w:val="21"/>
                <w:szCs w:val="21"/>
              </w:rPr>
              <w:t>1号集合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54740" w:rsidRPr="00FC119F" w:rsidRDefault="00554740"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54740" w:rsidRPr="00C47FEB" w:rsidRDefault="00554740" w:rsidP="007151DE">
            <w:pPr>
              <w:jc w:val="right"/>
              <w:rPr>
                <w:color w:val="000000"/>
                <w:sz w:val="21"/>
                <w:szCs w:val="22"/>
              </w:rPr>
            </w:pPr>
            <w:r>
              <w:rPr>
                <w:rFonts w:hint="eastAsia"/>
                <w:color w:val="000000"/>
                <w:sz w:val="21"/>
                <w:szCs w:val="22"/>
              </w:rPr>
              <w:t>4</w:t>
            </w:r>
            <w:r>
              <w:rPr>
                <w:rFonts w:hint="eastAsia"/>
                <w:color w:val="000000"/>
                <w:sz w:val="21"/>
                <w:szCs w:val="22"/>
              </w:rPr>
              <w:t>0</w:t>
            </w:r>
            <w:r w:rsidRPr="00C47FEB">
              <w:rPr>
                <w:rFonts w:hint="eastAsia"/>
                <w:color w:val="000000"/>
                <w:sz w:val="21"/>
                <w:szCs w:val="22"/>
              </w:rPr>
              <w:t>,000,000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554740" w:rsidRPr="00FC119F" w:rsidRDefault="00554740"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554740" w:rsidRPr="00FC119F" w:rsidRDefault="00554740" w:rsidP="007151DE">
            <w:pPr>
              <w:rPr>
                <w:sz w:val="21"/>
                <w:szCs w:val="21"/>
              </w:rPr>
            </w:pPr>
            <w:r>
              <w:rPr>
                <w:rFonts w:cs="Times New Roman" w:hint="eastAsia"/>
                <w:color w:val="666666"/>
                <w:sz w:val="21"/>
                <w:szCs w:val="21"/>
              </w:rPr>
              <w:t>建信</w:t>
            </w:r>
            <w:r>
              <w:rPr>
                <w:rFonts w:cs="Times New Roman" w:hint="eastAsia"/>
                <w:color w:val="666666"/>
                <w:sz w:val="21"/>
                <w:szCs w:val="21"/>
              </w:rPr>
              <w:t>基金管理</w:t>
            </w:r>
            <w:r w:rsidRPr="00FC119F">
              <w:rPr>
                <w:rFonts w:cs="Times New Roman" w:hint="eastAsia"/>
                <w:color w:val="666666"/>
                <w:sz w:val="21"/>
                <w:szCs w:val="21"/>
              </w:rPr>
              <w:t>有限</w:t>
            </w:r>
            <w:r>
              <w:rPr>
                <w:rFonts w:cs="Times New Roman" w:hint="eastAsia"/>
                <w:color w:val="666666"/>
                <w:sz w:val="21"/>
                <w:szCs w:val="21"/>
              </w:rPr>
              <w:t>责任</w:t>
            </w:r>
            <w:bookmarkStart w:id="0" w:name="_GoBack"/>
            <w:bookmarkEnd w:id="0"/>
            <w:r w:rsidRPr="00FC119F">
              <w:rPr>
                <w:rFonts w:cs="Times New Roman" w:hint="eastAsia"/>
                <w:color w:val="666666"/>
                <w:sz w:val="21"/>
                <w:szCs w:val="21"/>
              </w:rPr>
              <w:t>公司</w:t>
            </w:r>
          </w:p>
        </w:tc>
      </w:tr>
    </w:tbl>
    <w:p w:rsidR="00F648AA" w:rsidRDefault="00F648AA" w:rsidP="00F648AA">
      <w:pPr>
        <w:spacing w:line="555" w:lineRule="atLeast"/>
        <w:ind w:firstLineChars="200" w:firstLine="560"/>
        <w:divId w:val="59527532"/>
        <w:rPr>
          <w:rStyle w:val="titleeight2"/>
          <w:sz w:val="28"/>
          <w:szCs w:val="28"/>
        </w:rPr>
      </w:pPr>
      <w:r>
        <w:rPr>
          <w:rFonts w:hint="eastAsia"/>
          <w:sz w:val="28"/>
          <w:szCs w:val="28"/>
        </w:rPr>
        <w:t>三、</w:t>
      </w:r>
      <w:r>
        <w:rPr>
          <w:rStyle w:val="titleeight2"/>
          <w:rFonts w:hint="eastAsia"/>
          <w:sz w:val="28"/>
          <w:szCs w:val="28"/>
        </w:rPr>
        <w:t>其他关联交易</w:t>
      </w:r>
    </w:p>
    <w:p w:rsidR="00F648AA" w:rsidRDefault="00F648AA" w:rsidP="00F648AA">
      <w:pPr>
        <w:spacing w:line="555" w:lineRule="atLeast"/>
        <w:ind w:firstLineChars="200" w:firstLine="560"/>
        <w:divId w:val="59527532"/>
        <w:rPr>
          <w:sz w:val="28"/>
          <w:szCs w:val="28"/>
        </w:rPr>
      </w:pPr>
      <w:r>
        <w:rPr>
          <w:rStyle w:val="titleeight2"/>
          <w:rFonts w:hint="eastAsia"/>
          <w:sz w:val="28"/>
          <w:szCs w:val="28"/>
        </w:rPr>
        <w:t>无</w:t>
      </w:r>
    </w:p>
    <w:p w:rsidR="00A424E5" w:rsidRDefault="000B60F6">
      <w:pPr>
        <w:spacing w:line="555" w:lineRule="atLeast"/>
        <w:divId w:val="59527532"/>
        <w:rPr>
          <w:sz w:val="28"/>
          <w:szCs w:val="28"/>
        </w:rPr>
      </w:pPr>
      <w:r>
        <w:rPr>
          <w:rFonts w:hint="eastAsia"/>
          <w:sz w:val="28"/>
          <w:szCs w:val="28"/>
        </w:rPr>
        <w:t>  特此公告</w:t>
      </w:r>
    </w:p>
    <w:p w:rsidR="000B60F6" w:rsidRDefault="000B60F6">
      <w:pPr>
        <w:spacing w:line="555" w:lineRule="atLeast"/>
        <w:jc w:val="right"/>
        <w:divId w:val="1313680849"/>
        <w:rPr>
          <w:sz w:val="28"/>
          <w:szCs w:val="28"/>
        </w:rPr>
      </w:pPr>
      <w:r>
        <w:rPr>
          <w:rFonts w:hint="eastAsia"/>
          <w:sz w:val="28"/>
          <w:szCs w:val="28"/>
        </w:rPr>
        <w:t>建信理财有限责任公司</w:t>
      </w:r>
      <w:r>
        <w:rPr>
          <w:rFonts w:hint="eastAsia"/>
          <w:sz w:val="28"/>
          <w:szCs w:val="28"/>
        </w:rPr>
        <w:br/>
        <w:t>2024年12月31日</w:t>
      </w:r>
    </w:p>
    <w:sectPr w:rsidR="000B60F6">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841" w:rsidRDefault="00D92841" w:rsidP="00F648AA">
      <w:r>
        <w:separator/>
      </w:r>
    </w:p>
  </w:endnote>
  <w:endnote w:type="continuationSeparator" w:id="0">
    <w:p w:rsidR="00D92841" w:rsidRDefault="00D92841" w:rsidP="00F6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841" w:rsidRDefault="00D92841" w:rsidP="00F648AA">
      <w:r>
        <w:separator/>
      </w:r>
    </w:p>
  </w:footnote>
  <w:footnote w:type="continuationSeparator" w:id="0">
    <w:p w:rsidR="00D92841" w:rsidRDefault="00D92841" w:rsidP="00F64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AA"/>
    <w:rsid w:val="000B60F6"/>
    <w:rsid w:val="00554740"/>
    <w:rsid w:val="00A424E5"/>
    <w:rsid w:val="00D92841"/>
    <w:rsid w:val="00F6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7C0C2"/>
  <w15:chartTrackingRefBased/>
  <w15:docId w15:val="{FA4C45F7-9113-4B64-B778-9253CA92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titlefive2">
    <w:name w:val="titlefive2"/>
    <w:basedOn w:val="a0"/>
  </w:style>
  <w:style w:type="character" w:customStyle="1" w:styleId="fa">
    <w:name w:val="fa"/>
    <w:basedOn w:val="a0"/>
  </w:style>
  <w:style w:type="character" w:customStyle="1" w:styleId="titleeight2">
    <w:name w:val="titleeight2"/>
    <w:basedOn w:val="a0"/>
  </w:style>
  <w:style w:type="paragraph" w:styleId="a3">
    <w:name w:val="header"/>
    <w:basedOn w:val="a"/>
    <w:link w:val="a4"/>
    <w:uiPriority w:val="99"/>
    <w:unhideWhenUsed/>
    <w:rsid w:val="00F648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48AA"/>
    <w:rPr>
      <w:rFonts w:ascii="宋体" w:eastAsia="宋体" w:hAnsi="宋体" w:cs="宋体"/>
      <w:sz w:val="18"/>
      <w:szCs w:val="18"/>
    </w:rPr>
  </w:style>
  <w:style w:type="paragraph" w:styleId="a5">
    <w:name w:val="footer"/>
    <w:basedOn w:val="a"/>
    <w:link w:val="a6"/>
    <w:uiPriority w:val="99"/>
    <w:unhideWhenUsed/>
    <w:rsid w:val="00F648AA"/>
    <w:pPr>
      <w:tabs>
        <w:tab w:val="center" w:pos="4153"/>
        <w:tab w:val="right" w:pos="8306"/>
      </w:tabs>
      <w:snapToGrid w:val="0"/>
    </w:pPr>
    <w:rPr>
      <w:sz w:val="18"/>
      <w:szCs w:val="18"/>
    </w:rPr>
  </w:style>
  <w:style w:type="character" w:customStyle="1" w:styleId="a6">
    <w:name w:val="页脚 字符"/>
    <w:basedOn w:val="a0"/>
    <w:link w:val="a5"/>
    <w:uiPriority w:val="99"/>
    <w:rsid w:val="00F648AA"/>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2681">
      <w:marLeft w:val="0"/>
      <w:marRight w:val="0"/>
      <w:marTop w:val="0"/>
      <w:marBottom w:val="0"/>
      <w:divBdr>
        <w:top w:val="none" w:sz="0" w:space="0" w:color="auto"/>
        <w:left w:val="none" w:sz="0" w:space="0" w:color="auto"/>
        <w:bottom w:val="none" w:sz="0" w:space="0" w:color="auto"/>
        <w:right w:val="none" w:sz="0" w:space="0" w:color="auto"/>
      </w:divBdr>
      <w:divsChild>
        <w:div w:id="1077631609">
          <w:marLeft w:val="0"/>
          <w:marRight w:val="0"/>
          <w:marTop w:val="0"/>
          <w:marBottom w:val="0"/>
          <w:divBdr>
            <w:top w:val="none" w:sz="0" w:space="0" w:color="auto"/>
            <w:left w:val="none" w:sz="0" w:space="0" w:color="auto"/>
            <w:bottom w:val="none" w:sz="0" w:space="0" w:color="auto"/>
            <w:right w:val="none" w:sz="0" w:space="0" w:color="auto"/>
          </w:divBdr>
          <w:divsChild>
            <w:div w:id="860777895">
              <w:marLeft w:val="0"/>
              <w:marRight w:val="0"/>
              <w:marTop w:val="0"/>
              <w:marBottom w:val="0"/>
              <w:divBdr>
                <w:top w:val="none" w:sz="0" w:space="0" w:color="auto"/>
                <w:left w:val="none" w:sz="0" w:space="0" w:color="auto"/>
                <w:bottom w:val="none" w:sz="0" w:space="0" w:color="auto"/>
                <w:right w:val="none" w:sz="0" w:space="0" w:color="auto"/>
              </w:divBdr>
              <w:divsChild>
                <w:div w:id="59527532">
                  <w:marLeft w:val="0"/>
                  <w:marRight w:val="0"/>
                  <w:marTop w:val="150"/>
                  <w:marBottom w:val="0"/>
                  <w:divBdr>
                    <w:top w:val="none" w:sz="0" w:space="0" w:color="auto"/>
                    <w:left w:val="none" w:sz="0" w:space="0" w:color="auto"/>
                    <w:bottom w:val="none" w:sz="0" w:space="0" w:color="auto"/>
                    <w:right w:val="none" w:sz="0" w:space="0" w:color="auto"/>
                  </w:divBdr>
                </w:div>
                <w:div w:id="13136808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8496485">
      <w:marLeft w:val="0"/>
      <w:marRight w:val="0"/>
      <w:marTop w:val="0"/>
      <w:marBottom w:val="0"/>
      <w:divBdr>
        <w:top w:val="none" w:sz="0" w:space="0" w:color="auto"/>
        <w:left w:val="none" w:sz="0" w:space="0" w:color="auto"/>
        <w:bottom w:val="none" w:sz="0" w:space="0" w:color="auto"/>
        <w:right w:val="none" w:sz="0" w:space="0" w:color="auto"/>
      </w:divBdr>
      <w:divsChild>
        <w:div w:id="2029717234">
          <w:marLeft w:val="0"/>
          <w:marRight w:val="0"/>
          <w:marTop w:val="0"/>
          <w:marBottom w:val="0"/>
          <w:divBdr>
            <w:top w:val="none" w:sz="0" w:space="0" w:color="auto"/>
            <w:left w:val="none" w:sz="0" w:space="0" w:color="auto"/>
            <w:bottom w:val="none" w:sz="0" w:space="0" w:color="auto"/>
            <w:right w:val="none" w:sz="0" w:space="0" w:color="auto"/>
          </w:divBdr>
          <w:divsChild>
            <w:div w:id="448553453">
              <w:marLeft w:val="0"/>
              <w:marRight w:val="0"/>
              <w:marTop w:val="0"/>
              <w:marBottom w:val="0"/>
              <w:divBdr>
                <w:top w:val="none" w:sz="0" w:space="0" w:color="auto"/>
                <w:left w:val="none" w:sz="0" w:space="0" w:color="auto"/>
                <w:bottom w:val="none" w:sz="0" w:space="0" w:color="auto"/>
                <w:right w:val="none" w:sz="0" w:space="0" w:color="auto"/>
              </w:divBdr>
              <w:divsChild>
                <w:div w:id="12118474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89696905">
      <w:marLeft w:val="0"/>
      <w:marRight w:val="0"/>
      <w:marTop w:val="0"/>
      <w:marBottom w:val="0"/>
      <w:divBdr>
        <w:top w:val="none" w:sz="0" w:space="0" w:color="auto"/>
        <w:left w:val="none" w:sz="0" w:space="0" w:color="auto"/>
        <w:bottom w:val="none" w:sz="0" w:space="0" w:color="auto"/>
        <w:right w:val="none" w:sz="0" w:space="0" w:color="auto"/>
      </w:divBdr>
      <w:divsChild>
        <w:div w:id="1621381170">
          <w:marLeft w:val="0"/>
          <w:marRight w:val="0"/>
          <w:marTop w:val="0"/>
          <w:marBottom w:val="0"/>
          <w:divBdr>
            <w:top w:val="none" w:sz="0" w:space="0" w:color="auto"/>
            <w:left w:val="none" w:sz="0" w:space="0" w:color="auto"/>
            <w:bottom w:val="none" w:sz="0" w:space="0" w:color="auto"/>
            <w:right w:val="none" w:sz="0" w:space="0" w:color="auto"/>
          </w:divBdr>
          <w:divsChild>
            <w:div w:id="1025520920">
              <w:marLeft w:val="0"/>
              <w:marRight w:val="0"/>
              <w:marTop w:val="0"/>
              <w:marBottom w:val="0"/>
              <w:divBdr>
                <w:top w:val="none" w:sz="0" w:space="0" w:color="auto"/>
                <w:left w:val="none" w:sz="0" w:space="0" w:color="auto"/>
                <w:bottom w:val="none" w:sz="0" w:space="0" w:color="auto"/>
                <w:right w:val="none" w:sz="0" w:space="0" w:color="auto"/>
              </w:divBdr>
              <w:divsChild>
                <w:div w:id="1164315596">
                  <w:marLeft w:val="0"/>
                  <w:marRight w:val="0"/>
                  <w:marTop w:val="150"/>
                  <w:marBottom w:val="0"/>
                  <w:divBdr>
                    <w:top w:val="none" w:sz="0" w:space="0" w:color="auto"/>
                    <w:left w:val="none" w:sz="0" w:space="0" w:color="auto"/>
                    <w:bottom w:val="none" w:sz="0" w:space="0" w:color="auto"/>
                    <w:right w:val="none" w:sz="0" w:space="0" w:color="auto"/>
                  </w:divBdr>
                </w:div>
                <w:div w:id="260339304">
                  <w:marLeft w:val="0"/>
                  <w:marRight w:val="0"/>
                  <w:marTop w:val="150"/>
                  <w:marBottom w:val="0"/>
                  <w:divBdr>
                    <w:top w:val="none" w:sz="0" w:space="0" w:color="auto"/>
                    <w:left w:val="none" w:sz="0" w:space="0" w:color="auto"/>
                    <w:bottom w:val="none" w:sz="0" w:space="0" w:color="auto"/>
                    <w:right w:val="none" w:sz="0" w:space="0" w:color="auto"/>
                  </w:divBdr>
                </w:div>
                <w:div w:id="733821445">
                  <w:marLeft w:val="0"/>
                  <w:marRight w:val="0"/>
                  <w:marTop w:val="150"/>
                  <w:marBottom w:val="0"/>
                  <w:divBdr>
                    <w:top w:val="none" w:sz="0" w:space="0" w:color="auto"/>
                    <w:left w:val="none" w:sz="0" w:space="0" w:color="auto"/>
                    <w:bottom w:val="none" w:sz="0" w:space="0" w:color="auto"/>
                    <w:right w:val="none" w:sz="0" w:space="0" w:color="auto"/>
                  </w:divBdr>
                </w:div>
                <w:div w:id="1720013805">
                  <w:marLeft w:val="0"/>
                  <w:marRight w:val="0"/>
                  <w:marTop w:val="150"/>
                  <w:marBottom w:val="0"/>
                  <w:divBdr>
                    <w:top w:val="none" w:sz="0" w:space="0" w:color="auto"/>
                    <w:left w:val="none" w:sz="0" w:space="0" w:color="auto"/>
                    <w:bottom w:val="none" w:sz="0" w:space="0" w:color="auto"/>
                    <w:right w:val="none" w:sz="0" w:space="0" w:color="auto"/>
                  </w:divBdr>
                </w:div>
                <w:div w:id="811024358">
                  <w:marLeft w:val="150"/>
                  <w:marRight w:val="0"/>
                  <w:marTop w:val="0"/>
                  <w:marBottom w:val="0"/>
                  <w:divBdr>
                    <w:top w:val="none" w:sz="0" w:space="0" w:color="auto"/>
                    <w:left w:val="none" w:sz="0" w:space="0" w:color="auto"/>
                    <w:bottom w:val="none" w:sz="0" w:space="0" w:color="auto"/>
                    <w:right w:val="none" w:sz="0" w:space="0" w:color="auto"/>
                  </w:divBdr>
                  <w:divsChild>
                    <w:div w:id="1077285620">
                      <w:marLeft w:val="0"/>
                      <w:marRight w:val="0"/>
                      <w:marTop w:val="0"/>
                      <w:marBottom w:val="0"/>
                      <w:divBdr>
                        <w:top w:val="none" w:sz="0" w:space="0" w:color="auto"/>
                        <w:left w:val="none" w:sz="0" w:space="0" w:color="auto"/>
                        <w:bottom w:val="none" w:sz="0" w:space="0" w:color="auto"/>
                        <w:right w:val="none" w:sz="0" w:space="0" w:color="auto"/>
                      </w:divBdr>
                    </w:div>
                  </w:divsChild>
                </w:div>
                <w:div w:id="19929771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06813930">
      <w:marLeft w:val="0"/>
      <w:marRight w:val="0"/>
      <w:marTop w:val="0"/>
      <w:marBottom w:val="0"/>
      <w:divBdr>
        <w:top w:val="none" w:sz="0" w:space="0" w:color="auto"/>
        <w:left w:val="none" w:sz="0" w:space="0" w:color="auto"/>
        <w:bottom w:val="none" w:sz="0" w:space="0" w:color="auto"/>
        <w:right w:val="none" w:sz="0" w:space="0" w:color="auto"/>
      </w:divBdr>
      <w:divsChild>
        <w:div w:id="1457748674">
          <w:marLeft w:val="0"/>
          <w:marRight w:val="0"/>
          <w:marTop w:val="0"/>
          <w:marBottom w:val="0"/>
          <w:divBdr>
            <w:top w:val="none" w:sz="0" w:space="0" w:color="auto"/>
            <w:left w:val="none" w:sz="0" w:space="0" w:color="auto"/>
            <w:bottom w:val="none" w:sz="0" w:space="0" w:color="auto"/>
            <w:right w:val="none" w:sz="0" w:space="0" w:color="auto"/>
          </w:divBdr>
          <w:divsChild>
            <w:div w:id="885022812">
              <w:marLeft w:val="0"/>
              <w:marRight w:val="0"/>
              <w:marTop w:val="0"/>
              <w:marBottom w:val="0"/>
              <w:divBdr>
                <w:top w:val="none" w:sz="0" w:space="0" w:color="auto"/>
                <w:left w:val="none" w:sz="0" w:space="0" w:color="auto"/>
                <w:bottom w:val="none" w:sz="0" w:space="0" w:color="auto"/>
                <w:right w:val="none" w:sz="0" w:space="0" w:color="auto"/>
              </w:divBdr>
              <w:divsChild>
                <w:div w:id="662898029">
                  <w:marLeft w:val="0"/>
                  <w:marRight w:val="0"/>
                  <w:marTop w:val="150"/>
                  <w:marBottom w:val="0"/>
                  <w:divBdr>
                    <w:top w:val="none" w:sz="0" w:space="0" w:color="auto"/>
                    <w:left w:val="none" w:sz="0" w:space="0" w:color="auto"/>
                    <w:bottom w:val="none" w:sz="0" w:space="0" w:color="auto"/>
                    <w:right w:val="none" w:sz="0" w:space="0" w:color="auto"/>
                  </w:divBdr>
                </w:div>
                <w:div w:id="7148126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1745314">
      <w:marLeft w:val="0"/>
      <w:marRight w:val="0"/>
      <w:marTop w:val="0"/>
      <w:marBottom w:val="0"/>
      <w:divBdr>
        <w:top w:val="none" w:sz="0" w:space="0" w:color="auto"/>
        <w:left w:val="none" w:sz="0" w:space="0" w:color="auto"/>
        <w:bottom w:val="none" w:sz="0" w:space="0" w:color="auto"/>
        <w:right w:val="none" w:sz="0" w:space="0" w:color="auto"/>
      </w:divBdr>
      <w:divsChild>
        <w:div w:id="1741756662">
          <w:marLeft w:val="0"/>
          <w:marRight w:val="0"/>
          <w:marTop w:val="0"/>
          <w:marBottom w:val="0"/>
          <w:divBdr>
            <w:top w:val="none" w:sz="0" w:space="0" w:color="auto"/>
            <w:left w:val="none" w:sz="0" w:space="0" w:color="auto"/>
            <w:bottom w:val="none" w:sz="0" w:space="0" w:color="auto"/>
            <w:right w:val="none" w:sz="0" w:space="0" w:color="auto"/>
          </w:divBdr>
          <w:divsChild>
            <w:div w:id="1809322174">
              <w:marLeft w:val="0"/>
              <w:marRight w:val="0"/>
              <w:marTop w:val="0"/>
              <w:marBottom w:val="0"/>
              <w:divBdr>
                <w:top w:val="none" w:sz="0" w:space="0" w:color="auto"/>
                <w:left w:val="none" w:sz="0" w:space="0" w:color="auto"/>
                <w:bottom w:val="none" w:sz="0" w:space="0" w:color="auto"/>
                <w:right w:val="none" w:sz="0" w:space="0" w:color="auto"/>
              </w:divBdr>
              <w:divsChild>
                <w:div w:id="1108231775">
                  <w:marLeft w:val="0"/>
                  <w:marRight w:val="0"/>
                  <w:marTop w:val="150"/>
                  <w:marBottom w:val="0"/>
                  <w:divBdr>
                    <w:top w:val="none" w:sz="0" w:space="0" w:color="auto"/>
                    <w:left w:val="none" w:sz="0" w:space="0" w:color="auto"/>
                    <w:bottom w:val="none" w:sz="0" w:space="0" w:color="auto"/>
                    <w:right w:val="none" w:sz="0" w:space="0" w:color="auto"/>
                  </w:divBdr>
                </w:div>
                <w:div w:id="166600893">
                  <w:marLeft w:val="150"/>
                  <w:marRight w:val="0"/>
                  <w:marTop w:val="150"/>
                  <w:marBottom w:val="0"/>
                  <w:divBdr>
                    <w:top w:val="none" w:sz="0" w:space="0" w:color="auto"/>
                    <w:left w:val="none" w:sz="0" w:space="0" w:color="auto"/>
                    <w:bottom w:val="none" w:sz="0" w:space="0" w:color="auto"/>
                    <w:right w:val="none" w:sz="0" w:space="0" w:color="auto"/>
                  </w:divBdr>
                  <w:divsChild>
                    <w:div w:id="551115422">
                      <w:marLeft w:val="0"/>
                      <w:marRight w:val="0"/>
                      <w:marTop w:val="0"/>
                      <w:marBottom w:val="0"/>
                      <w:divBdr>
                        <w:top w:val="none" w:sz="0" w:space="0" w:color="auto"/>
                        <w:left w:val="none" w:sz="0" w:space="0" w:color="auto"/>
                        <w:bottom w:val="none" w:sz="0" w:space="0" w:color="auto"/>
                        <w:right w:val="none" w:sz="0" w:space="0" w:color="auto"/>
                      </w:divBdr>
                    </w:div>
                  </w:divsChild>
                </w:div>
                <w:div w:id="225803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45431298">
      <w:marLeft w:val="0"/>
      <w:marRight w:val="0"/>
      <w:marTop w:val="0"/>
      <w:marBottom w:val="0"/>
      <w:divBdr>
        <w:top w:val="none" w:sz="0" w:space="0" w:color="auto"/>
        <w:left w:val="none" w:sz="0" w:space="0" w:color="auto"/>
        <w:bottom w:val="none" w:sz="0" w:space="0" w:color="auto"/>
        <w:right w:val="none" w:sz="0" w:space="0" w:color="auto"/>
      </w:divBdr>
      <w:divsChild>
        <w:div w:id="475269742">
          <w:marLeft w:val="0"/>
          <w:marRight w:val="0"/>
          <w:marTop w:val="0"/>
          <w:marBottom w:val="0"/>
          <w:divBdr>
            <w:top w:val="none" w:sz="0" w:space="0" w:color="auto"/>
            <w:left w:val="none" w:sz="0" w:space="0" w:color="auto"/>
            <w:bottom w:val="none" w:sz="0" w:space="0" w:color="auto"/>
            <w:right w:val="none" w:sz="0" w:space="0" w:color="auto"/>
          </w:divBdr>
          <w:divsChild>
            <w:div w:id="1473788329">
              <w:marLeft w:val="0"/>
              <w:marRight w:val="0"/>
              <w:marTop w:val="0"/>
              <w:marBottom w:val="0"/>
              <w:divBdr>
                <w:top w:val="none" w:sz="0" w:space="0" w:color="auto"/>
                <w:left w:val="none" w:sz="0" w:space="0" w:color="auto"/>
                <w:bottom w:val="none" w:sz="0" w:space="0" w:color="auto"/>
                <w:right w:val="none" w:sz="0" w:space="0" w:color="auto"/>
              </w:divBdr>
              <w:divsChild>
                <w:div w:id="431710677">
                  <w:marLeft w:val="0"/>
                  <w:marRight w:val="0"/>
                  <w:marTop w:val="150"/>
                  <w:marBottom w:val="0"/>
                  <w:divBdr>
                    <w:top w:val="none" w:sz="0" w:space="0" w:color="auto"/>
                    <w:left w:val="none" w:sz="0" w:space="0" w:color="auto"/>
                    <w:bottom w:val="none" w:sz="0" w:space="0" w:color="auto"/>
                    <w:right w:val="none" w:sz="0" w:space="0" w:color="auto"/>
                  </w:divBdr>
                </w:div>
                <w:div w:id="1642495613">
                  <w:marLeft w:val="150"/>
                  <w:marRight w:val="0"/>
                  <w:marTop w:val="150"/>
                  <w:marBottom w:val="0"/>
                  <w:divBdr>
                    <w:top w:val="none" w:sz="0" w:space="0" w:color="auto"/>
                    <w:left w:val="none" w:sz="0" w:space="0" w:color="auto"/>
                    <w:bottom w:val="none" w:sz="0" w:space="0" w:color="auto"/>
                    <w:right w:val="none" w:sz="0" w:space="0" w:color="auto"/>
                  </w:divBdr>
                  <w:divsChild>
                    <w:div w:id="1861309472">
                      <w:marLeft w:val="0"/>
                      <w:marRight w:val="0"/>
                      <w:marTop w:val="0"/>
                      <w:marBottom w:val="0"/>
                      <w:divBdr>
                        <w:top w:val="none" w:sz="0" w:space="0" w:color="auto"/>
                        <w:left w:val="none" w:sz="0" w:space="0" w:color="auto"/>
                        <w:bottom w:val="none" w:sz="0" w:space="0" w:color="auto"/>
                        <w:right w:val="none" w:sz="0" w:space="0" w:color="auto"/>
                      </w:divBdr>
                    </w:div>
                  </w:divsChild>
                </w:div>
                <w:div w:id="10019358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6105271">
      <w:marLeft w:val="0"/>
      <w:marRight w:val="0"/>
      <w:marTop w:val="0"/>
      <w:marBottom w:val="0"/>
      <w:divBdr>
        <w:top w:val="none" w:sz="0" w:space="0" w:color="auto"/>
        <w:left w:val="none" w:sz="0" w:space="0" w:color="auto"/>
        <w:bottom w:val="none" w:sz="0" w:space="0" w:color="auto"/>
        <w:right w:val="none" w:sz="0" w:space="0" w:color="auto"/>
      </w:divBdr>
      <w:divsChild>
        <w:div w:id="159466406">
          <w:marLeft w:val="0"/>
          <w:marRight w:val="0"/>
          <w:marTop w:val="0"/>
          <w:marBottom w:val="0"/>
          <w:divBdr>
            <w:top w:val="none" w:sz="0" w:space="0" w:color="auto"/>
            <w:left w:val="none" w:sz="0" w:space="0" w:color="auto"/>
            <w:bottom w:val="none" w:sz="0" w:space="0" w:color="auto"/>
            <w:right w:val="none" w:sz="0" w:space="0" w:color="auto"/>
          </w:divBdr>
          <w:divsChild>
            <w:div w:id="324824999">
              <w:marLeft w:val="0"/>
              <w:marRight w:val="0"/>
              <w:marTop w:val="0"/>
              <w:marBottom w:val="0"/>
              <w:divBdr>
                <w:top w:val="none" w:sz="0" w:space="0" w:color="auto"/>
                <w:left w:val="none" w:sz="0" w:space="0" w:color="auto"/>
                <w:bottom w:val="none" w:sz="0" w:space="0" w:color="auto"/>
                <w:right w:val="none" w:sz="0" w:space="0" w:color="auto"/>
              </w:divBdr>
              <w:divsChild>
                <w:div w:id="113990002">
                  <w:marLeft w:val="0"/>
                  <w:marRight w:val="0"/>
                  <w:marTop w:val="150"/>
                  <w:marBottom w:val="0"/>
                  <w:divBdr>
                    <w:top w:val="none" w:sz="0" w:space="0" w:color="auto"/>
                    <w:left w:val="none" w:sz="0" w:space="0" w:color="auto"/>
                    <w:bottom w:val="none" w:sz="0" w:space="0" w:color="auto"/>
                    <w:right w:val="none" w:sz="0" w:space="0" w:color="auto"/>
                  </w:divBdr>
                </w:div>
                <w:div w:id="2046246317">
                  <w:marLeft w:val="0"/>
                  <w:marRight w:val="0"/>
                  <w:marTop w:val="150"/>
                  <w:marBottom w:val="0"/>
                  <w:divBdr>
                    <w:top w:val="none" w:sz="0" w:space="0" w:color="auto"/>
                    <w:left w:val="none" w:sz="0" w:space="0" w:color="auto"/>
                    <w:bottom w:val="none" w:sz="0" w:space="0" w:color="auto"/>
                    <w:right w:val="none" w:sz="0" w:space="0" w:color="auto"/>
                  </w:divBdr>
                </w:div>
                <w:div w:id="7774056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04005771">
      <w:marLeft w:val="0"/>
      <w:marRight w:val="0"/>
      <w:marTop w:val="0"/>
      <w:marBottom w:val="0"/>
      <w:divBdr>
        <w:top w:val="none" w:sz="0" w:space="0" w:color="auto"/>
        <w:left w:val="none" w:sz="0" w:space="0" w:color="auto"/>
        <w:bottom w:val="none" w:sz="0" w:space="0" w:color="auto"/>
        <w:right w:val="none" w:sz="0" w:space="0" w:color="auto"/>
      </w:divBdr>
      <w:divsChild>
        <w:div w:id="1179807110">
          <w:marLeft w:val="0"/>
          <w:marRight w:val="0"/>
          <w:marTop w:val="0"/>
          <w:marBottom w:val="0"/>
          <w:divBdr>
            <w:top w:val="none" w:sz="0" w:space="0" w:color="auto"/>
            <w:left w:val="none" w:sz="0" w:space="0" w:color="auto"/>
            <w:bottom w:val="none" w:sz="0" w:space="0" w:color="auto"/>
            <w:right w:val="none" w:sz="0" w:space="0" w:color="auto"/>
          </w:divBdr>
          <w:divsChild>
            <w:div w:id="1190797870">
              <w:marLeft w:val="0"/>
              <w:marRight w:val="0"/>
              <w:marTop w:val="0"/>
              <w:marBottom w:val="0"/>
              <w:divBdr>
                <w:top w:val="none" w:sz="0" w:space="0" w:color="auto"/>
                <w:left w:val="none" w:sz="0" w:space="0" w:color="auto"/>
                <w:bottom w:val="none" w:sz="0" w:space="0" w:color="auto"/>
                <w:right w:val="none" w:sz="0" w:space="0" w:color="auto"/>
              </w:divBdr>
              <w:divsChild>
                <w:div w:id="1673996304">
                  <w:marLeft w:val="0"/>
                  <w:marRight w:val="0"/>
                  <w:marTop w:val="150"/>
                  <w:marBottom w:val="0"/>
                  <w:divBdr>
                    <w:top w:val="none" w:sz="0" w:space="0" w:color="auto"/>
                    <w:left w:val="none" w:sz="0" w:space="0" w:color="auto"/>
                    <w:bottom w:val="none" w:sz="0" w:space="0" w:color="auto"/>
                    <w:right w:val="none" w:sz="0" w:space="0" w:color="auto"/>
                  </w:divBdr>
                </w:div>
                <w:div w:id="1251819460">
                  <w:marLeft w:val="150"/>
                  <w:marRight w:val="0"/>
                  <w:marTop w:val="150"/>
                  <w:marBottom w:val="0"/>
                  <w:divBdr>
                    <w:top w:val="none" w:sz="0" w:space="0" w:color="auto"/>
                    <w:left w:val="none" w:sz="0" w:space="0" w:color="auto"/>
                    <w:bottom w:val="none" w:sz="0" w:space="0" w:color="auto"/>
                    <w:right w:val="none" w:sz="0" w:space="0" w:color="auto"/>
                  </w:divBdr>
                  <w:divsChild>
                    <w:div w:id="1111706694">
                      <w:marLeft w:val="0"/>
                      <w:marRight w:val="0"/>
                      <w:marTop w:val="0"/>
                      <w:marBottom w:val="0"/>
                      <w:divBdr>
                        <w:top w:val="none" w:sz="0" w:space="0" w:color="auto"/>
                        <w:left w:val="none" w:sz="0" w:space="0" w:color="auto"/>
                        <w:bottom w:val="none" w:sz="0" w:space="0" w:color="auto"/>
                        <w:right w:val="none" w:sz="0" w:space="0" w:color="auto"/>
                      </w:divBdr>
                    </w:div>
                  </w:divsChild>
                </w:div>
                <w:div w:id="1685740068">
                  <w:marLeft w:val="0"/>
                  <w:marRight w:val="0"/>
                  <w:marTop w:val="150"/>
                  <w:marBottom w:val="0"/>
                  <w:divBdr>
                    <w:top w:val="none" w:sz="0" w:space="0" w:color="auto"/>
                    <w:left w:val="none" w:sz="0" w:space="0" w:color="auto"/>
                    <w:bottom w:val="none" w:sz="0" w:space="0" w:color="auto"/>
                    <w:right w:val="none" w:sz="0" w:space="0" w:color="auto"/>
                  </w:divBdr>
                </w:div>
                <w:div w:id="9588806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44830385">
      <w:marLeft w:val="0"/>
      <w:marRight w:val="0"/>
      <w:marTop w:val="0"/>
      <w:marBottom w:val="0"/>
      <w:divBdr>
        <w:top w:val="none" w:sz="0" w:space="0" w:color="auto"/>
        <w:left w:val="none" w:sz="0" w:space="0" w:color="auto"/>
        <w:bottom w:val="none" w:sz="0" w:space="0" w:color="auto"/>
        <w:right w:val="none" w:sz="0" w:space="0" w:color="auto"/>
      </w:divBdr>
      <w:divsChild>
        <w:div w:id="2057074358">
          <w:marLeft w:val="0"/>
          <w:marRight w:val="0"/>
          <w:marTop w:val="0"/>
          <w:marBottom w:val="0"/>
          <w:divBdr>
            <w:top w:val="none" w:sz="0" w:space="0" w:color="auto"/>
            <w:left w:val="none" w:sz="0" w:space="0" w:color="auto"/>
            <w:bottom w:val="none" w:sz="0" w:space="0" w:color="auto"/>
            <w:right w:val="none" w:sz="0" w:space="0" w:color="auto"/>
          </w:divBdr>
          <w:divsChild>
            <w:div w:id="1591043456">
              <w:marLeft w:val="0"/>
              <w:marRight w:val="0"/>
              <w:marTop w:val="0"/>
              <w:marBottom w:val="0"/>
              <w:divBdr>
                <w:top w:val="none" w:sz="0" w:space="0" w:color="auto"/>
                <w:left w:val="none" w:sz="0" w:space="0" w:color="auto"/>
                <w:bottom w:val="none" w:sz="0" w:space="0" w:color="auto"/>
                <w:right w:val="none" w:sz="0" w:space="0" w:color="auto"/>
              </w:divBdr>
              <w:divsChild>
                <w:div w:id="127210104">
                  <w:marLeft w:val="0"/>
                  <w:marRight w:val="0"/>
                  <w:marTop w:val="150"/>
                  <w:marBottom w:val="0"/>
                  <w:divBdr>
                    <w:top w:val="none" w:sz="0" w:space="0" w:color="auto"/>
                    <w:left w:val="none" w:sz="0" w:space="0" w:color="auto"/>
                    <w:bottom w:val="none" w:sz="0" w:space="0" w:color="auto"/>
                    <w:right w:val="none" w:sz="0" w:space="0" w:color="auto"/>
                  </w:divBdr>
                </w:div>
                <w:div w:id="8917973">
                  <w:marLeft w:val="150"/>
                  <w:marRight w:val="0"/>
                  <w:marTop w:val="150"/>
                  <w:marBottom w:val="0"/>
                  <w:divBdr>
                    <w:top w:val="none" w:sz="0" w:space="0" w:color="auto"/>
                    <w:left w:val="none" w:sz="0" w:space="0" w:color="auto"/>
                    <w:bottom w:val="none" w:sz="0" w:space="0" w:color="auto"/>
                    <w:right w:val="none" w:sz="0" w:space="0" w:color="auto"/>
                  </w:divBdr>
                  <w:divsChild>
                    <w:div w:id="20106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51026">
      <w:marLeft w:val="0"/>
      <w:marRight w:val="0"/>
      <w:marTop w:val="0"/>
      <w:marBottom w:val="0"/>
      <w:divBdr>
        <w:top w:val="none" w:sz="0" w:space="0" w:color="auto"/>
        <w:left w:val="none" w:sz="0" w:space="0" w:color="auto"/>
        <w:bottom w:val="none" w:sz="0" w:space="0" w:color="auto"/>
        <w:right w:val="none" w:sz="0" w:space="0" w:color="auto"/>
      </w:divBdr>
      <w:divsChild>
        <w:div w:id="1035542906">
          <w:marLeft w:val="0"/>
          <w:marRight w:val="0"/>
          <w:marTop w:val="0"/>
          <w:marBottom w:val="0"/>
          <w:divBdr>
            <w:top w:val="none" w:sz="0" w:space="0" w:color="auto"/>
            <w:left w:val="none" w:sz="0" w:space="0" w:color="auto"/>
            <w:bottom w:val="none" w:sz="0" w:space="0" w:color="auto"/>
            <w:right w:val="none" w:sz="0" w:space="0" w:color="auto"/>
          </w:divBdr>
          <w:divsChild>
            <w:div w:id="988438953">
              <w:marLeft w:val="0"/>
              <w:marRight w:val="0"/>
              <w:marTop w:val="0"/>
              <w:marBottom w:val="0"/>
              <w:divBdr>
                <w:top w:val="none" w:sz="0" w:space="0" w:color="auto"/>
                <w:left w:val="none" w:sz="0" w:space="0" w:color="auto"/>
                <w:bottom w:val="none" w:sz="0" w:space="0" w:color="auto"/>
                <w:right w:val="none" w:sz="0" w:space="0" w:color="auto"/>
              </w:divBdr>
              <w:divsChild>
                <w:div w:id="946931044">
                  <w:marLeft w:val="0"/>
                  <w:marRight w:val="0"/>
                  <w:marTop w:val="150"/>
                  <w:marBottom w:val="0"/>
                  <w:divBdr>
                    <w:top w:val="none" w:sz="0" w:space="0" w:color="auto"/>
                    <w:left w:val="none" w:sz="0" w:space="0" w:color="auto"/>
                    <w:bottom w:val="none" w:sz="0" w:space="0" w:color="auto"/>
                    <w:right w:val="none" w:sz="0" w:space="0" w:color="auto"/>
                  </w:divBdr>
                </w:div>
                <w:div w:id="1509061152">
                  <w:marLeft w:val="0"/>
                  <w:marRight w:val="0"/>
                  <w:marTop w:val="150"/>
                  <w:marBottom w:val="0"/>
                  <w:divBdr>
                    <w:top w:val="none" w:sz="0" w:space="0" w:color="auto"/>
                    <w:left w:val="none" w:sz="0" w:space="0" w:color="auto"/>
                    <w:bottom w:val="none" w:sz="0" w:space="0" w:color="auto"/>
                    <w:right w:val="none" w:sz="0" w:space="0" w:color="auto"/>
                  </w:divBdr>
                </w:div>
                <w:div w:id="141968956">
                  <w:marLeft w:val="150"/>
                  <w:marRight w:val="0"/>
                  <w:marTop w:val="150"/>
                  <w:marBottom w:val="0"/>
                  <w:divBdr>
                    <w:top w:val="none" w:sz="0" w:space="0" w:color="auto"/>
                    <w:left w:val="none" w:sz="0" w:space="0" w:color="auto"/>
                    <w:bottom w:val="none" w:sz="0" w:space="0" w:color="auto"/>
                    <w:right w:val="none" w:sz="0" w:space="0" w:color="auto"/>
                  </w:divBdr>
                  <w:divsChild>
                    <w:div w:id="737283800">
                      <w:marLeft w:val="0"/>
                      <w:marRight w:val="0"/>
                      <w:marTop w:val="0"/>
                      <w:marBottom w:val="0"/>
                      <w:divBdr>
                        <w:top w:val="none" w:sz="0" w:space="0" w:color="auto"/>
                        <w:left w:val="none" w:sz="0" w:space="0" w:color="auto"/>
                        <w:bottom w:val="none" w:sz="0" w:space="0" w:color="auto"/>
                        <w:right w:val="none" w:sz="0" w:space="0" w:color="auto"/>
                      </w:divBdr>
                    </w:div>
                  </w:divsChild>
                </w:div>
                <w:div w:id="3223178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19636891">
      <w:marLeft w:val="0"/>
      <w:marRight w:val="0"/>
      <w:marTop w:val="0"/>
      <w:marBottom w:val="0"/>
      <w:divBdr>
        <w:top w:val="none" w:sz="0" w:space="0" w:color="auto"/>
        <w:left w:val="none" w:sz="0" w:space="0" w:color="auto"/>
        <w:bottom w:val="none" w:sz="0" w:space="0" w:color="auto"/>
        <w:right w:val="none" w:sz="0" w:space="0" w:color="auto"/>
      </w:divBdr>
      <w:divsChild>
        <w:div w:id="1886600106">
          <w:marLeft w:val="0"/>
          <w:marRight w:val="0"/>
          <w:marTop w:val="0"/>
          <w:marBottom w:val="0"/>
          <w:divBdr>
            <w:top w:val="none" w:sz="0" w:space="0" w:color="auto"/>
            <w:left w:val="none" w:sz="0" w:space="0" w:color="auto"/>
            <w:bottom w:val="none" w:sz="0" w:space="0" w:color="auto"/>
            <w:right w:val="none" w:sz="0" w:space="0" w:color="auto"/>
          </w:divBdr>
          <w:divsChild>
            <w:div w:id="1185360381">
              <w:marLeft w:val="0"/>
              <w:marRight w:val="0"/>
              <w:marTop w:val="0"/>
              <w:marBottom w:val="0"/>
              <w:divBdr>
                <w:top w:val="none" w:sz="0" w:space="0" w:color="auto"/>
                <w:left w:val="none" w:sz="0" w:space="0" w:color="auto"/>
                <w:bottom w:val="none" w:sz="0" w:space="0" w:color="auto"/>
                <w:right w:val="none" w:sz="0" w:space="0" w:color="auto"/>
              </w:divBdr>
              <w:divsChild>
                <w:div w:id="1128356287">
                  <w:marLeft w:val="0"/>
                  <w:marRight w:val="0"/>
                  <w:marTop w:val="150"/>
                  <w:marBottom w:val="0"/>
                  <w:divBdr>
                    <w:top w:val="none" w:sz="0" w:space="0" w:color="auto"/>
                    <w:left w:val="none" w:sz="0" w:space="0" w:color="auto"/>
                    <w:bottom w:val="none" w:sz="0" w:space="0" w:color="auto"/>
                    <w:right w:val="none" w:sz="0" w:space="0" w:color="auto"/>
                  </w:divBdr>
                </w:div>
                <w:div w:id="1048184544">
                  <w:marLeft w:val="150"/>
                  <w:marRight w:val="0"/>
                  <w:marTop w:val="150"/>
                  <w:marBottom w:val="0"/>
                  <w:divBdr>
                    <w:top w:val="none" w:sz="0" w:space="0" w:color="auto"/>
                    <w:left w:val="none" w:sz="0" w:space="0" w:color="auto"/>
                    <w:bottom w:val="none" w:sz="0" w:space="0" w:color="auto"/>
                    <w:right w:val="none" w:sz="0" w:space="0" w:color="auto"/>
                  </w:divBdr>
                  <w:divsChild>
                    <w:div w:id="20145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建信理财</dc:creator>
  <cp:keywords/>
  <dc:description/>
  <cp:lastModifiedBy>建信理财</cp:lastModifiedBy>
  <cp:revision>3</cp:revision>
  <dcterms:created xsi:type="dcterms:W3CDTF">2025-07-09T07:11:00Z</dcterms:created>
  <dcterms:modified xsi:type="dcterms:W3CDTF">2025-08-15T09:32:00Z</dcterms:modified>
</cp:coreProperties>
</file>