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C3071" w:rsidP="009E2EC0">
      <w:pPr>
        <w:spacing w:line="630" w:lineRule="atLeast"/>
        <w:jc w:val="center"/>
        <w:divId w:val="2019036751"/>
        <w:rPr>
          <w:b/>
          <w:bCs/>
          <w:sz w:val="32"/>
          <w:szCs w:val="32"/>
        </w:rPr>
      </w:pPr>
      <w:r>
        <w:rPr>
          <w:rFonts w:hint="eastAsia"/>
          <w:b/>
          <w:bCs/>
          <w:sz w:val="32"/>
          <w:szCs w:val="32"/>
        </w:rPr>
        <w:t>建信理财嘉鑫（目标盈）固收类封闭式产品</w:t>
      </w:r>
      <w:r>
        <w:rPr>
          <w:rFonts w:hint="eastAsia"/>
          <w:b/>
          <w:bCs/>
          <w:sz w:val="32"/>
          <w:szCs w:val="32"/>
        </w:rPr>
        <w:t>2024</w:t>
      </w:r>
      <w:r>
        <w:rPr>
          <w:rFonts w:hint="eastAsia"/>
          <w:b/>
          <w:bCs/>
          <w:sz w:val="32"/>
          <w:szCs w:val="32"/>
        </w:rPr>
        <w:t>年第</w:t>
      </w:r>
      <w:r>
        <w:rPr>
          <w:rFonts w:hint="eastAsia"/>
          <w:b/>
          <w:bCs/>
          <w:sz w:val="32"/>
          <w:szCs w:val="32"/>
        </w:rPr>
        <w:t>518</w:t>
      </w:r>
      <w:r>
        <w:rPr>
          <w:rFonts w:hint="eastAsia"/>
          <w:b/>
          <w:bCs/>
          <w:sz w:val="32"/>
          <w:szCs w:val="32"/>
        </w:rPr>
        <w:t>期</w:t>
      </w:r>
      <w:r>
        <w:rPr>
          <w:rFonts w:hint="eastAsia"/>
          <w:b/>
          <w:bCs/>
          <w:sz w:val="32"/>
          <w:szCs w:val="32"/>
        </w:rPr>
        <w:t>2024</w:t>
      </w:r>
      <w:r>
        <w:rPr>
          <w:rFonts w:hint="eastAsia"/>
          <w:b/>
          <w:bCs/>
          <w:sz w:val="32"/>
          <w:szCs w:val="32"/>
        </w:rPr>
        <w:t>年四季度</w:t>
      </w:r>
      <w:bookmarkStart w:id="0" w:name="_GoBack"/>
      <w:r w:rsidR="009E2EC0" w:rsidRPr="001A2FC4">
        <w:rPr>
          <w:rFonts w:hint="eastAsia"/>
          <w:b/>
          <w:bCs/>
          <w:sz w:val="32"/>
          <w:szCs w:val="32"/>
        </w:rPr>
        <w:t>关联交易信息披露公告</w:t>
      </w:r>
      <w:bookmarkEnd w:id="0"/>
    </w:p>
    <w:p w:rsidR="00000000" w:rsidRDefault="00DC3071">
      <w:pPr>
        <w:jc w:val="center"/>
        <w:divId w:val="16735652"/>
        <w:rPr>
          <w:rFonts w:hint="eastAsia"/>
          <w:sz w:val="21"/>
          <w:szCs w:val="21"/>
        </w:rPr>
      </w:pPr>
      <w:r>
        <w:rPr>
          <w:rFonts w:hint="eastAsia"/>
          <w:sz w:val="21"/>
          <w:szCs w:val="21"/>
        </w:rPr>
        <w:t>报告日：</w:t>
      </w:r>
      <w:r>
        <w:rPr>
          <w:rFonts w:hint="eastAsia"/>
          <w:sz w:val="21"/>
          <w:szCs w:val="21"/>
        </w:rPr>
        <w:t>2024</w:t>
      </w:r>
      <w:r>
        <w:rPr>
          <w:rFonts w:hint="eastAsia"/>
          <w:sz w:val="21"/>
          <w:szCs w:val="21"/>
        </w:rPr>
        <w:t>年</w:t>
      </w:r>
      <w:r>
        <w:rPr>
          <w:rFonts w:hint="eastAsia"/>
          <w:sz w:val="21"/>
          <w:szCs w:val="21"/>
        </w:rPr>
        <w:t>12</w:t>
      </w:r>
      <w:r>
        <w:rPr>
          <w:rFonts w:hint="eastAsia"/>
          <w:sz w:val="21"/>
          <w:szCs w:val="21"/>
        </w:rPr>
        <w:t>月</w:t>
      </w:r>
      <w:r>
        <w:rPr>
          <w:rFonts w:hint="eastAsia"/>
          <w:sz w:val="21"/>
          <w:szCs w:val="21"/>
        </w:rPr>
        <w:t>31</w:t>
      </w:r>
      <w:r>
        <w:rPr>
          <w:rFonts w:hint="eastAsia"/>
          <w:sz w:val="21"/>
          <w:szCs w:val="21"/>
        </w:rPr>
        <w:t>日</w:t>
      </w:r>
    </w:p>
    <w:p w:rsidR="00000000" w:rsidRDefault="00DC3071" w:rsidP="009E2EC0">
      <w:pPr>
        <w:spacing w:line="555" w:lineRule="atLeast"/>
        <w:divId w:val="66147560"/>
        <w:rPr>
          <w:rFonts w:hint="eastAsia"/>
          <w:sz w:val="28"/>
          <w:szCs w:val="28"/>
        </w:rPr>
      </w:pPr>
      <w:r>
        <w:rPr>
          <w:rFonts w:hint="eastAsia"/>
          <w:sz w:val="28"/>
          <w:szCs w:val="28"/>
        </w:rPr>
        <w:t>  </w:t>
      </w:r>
      <w:r w:rsidR="009E2EC0">
        <w:rPr>
          <w:rFonts w:hint="eastAsia"/>
          <w:sz w:val="28"/>
          <w:szCs w:val="28"/>
        </w:rPr>
        <w:t>截至报告日，</w:t>
      </w:r>
      <w:r>
        <w:rPr>
          <w:rFonts w:hint="eastAsia"/>
          <w:sz w:val="28"/>
          <w:szCs w:val="28"/>
        </w:rPr>
        <w:t>建信理财嘉鑫（目标盈）固收类封闭式产品</w:t>
      </w:r>
      <w:r>
        <w:rPr>
          <w:rFonts w:hint="eastAsia"/>
          <w:sz w:val="28"/>
          <w:szCs w:val="28"/>
        </w:rPr>
        <w:t>2024</w:t>
      </w:r>
      <w:r>
        <w:rPr>
          <w:rFonts w:hint="eastAsia"/>
          <w:sz w:val="28"/>
          <w:szCs w:val="28"/>
        </w:rPr>
        <w:t>年第</w:t>
      </w:r>
      <w:r>
        <w:rPr>
          <w:rFonts w:hint="eastAsia"/>
          <w:sz w:val="28"/>
          <w:szCs w:val="28"/>
        </w:rPr>
        <w:t>518</w:t>
      </w:r>
      <w:r>
        <w:rPr>
          <w:rFonts w:hint="eastAsia"/>
          <w:sz w:val="28"/>
          <w:szCs w:val="28"/>
        </w:rPr>
        <w:t>期</w:t>
      </w:r>
      <w:r w:rsidR="009E2EC0">
        <w:rPr>
          <w:rFonts w:hint="eastAsia"/>
          <w:sz w:val="28"/>
          <w:szCs w:val="28"/>
        </w:rPr>
        <w:t>关联交易信息如下：</w:t>
      </w:r>
    </w:p>
    <w:p w:rsidR="00000000" w:rsidRDefault="00DC3071">
      <w:pPr>
        <w:spacing w:line="555" w:lineRule="atLeast"/>
        <w:divId w:val="1326667910"/>
        <w:rPr>
          <w:rFonts w:hint="eastAsia"/>
          <w:sz w:val="28"/>
          <w:szCs w:val="28"/>
        </w:rPr>
      </w:pPr>
      <w:r>
        <w:rPr>
          <w:rFonts w:hint="eastAsia"/>
          <w:sz w:val="28"/>
          <w:szCs w:val="28"/>
        </w:rPr>
        <w:t>  </w:t>
      </w:r>
      <w:r w:rsidR="009E2EC0">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4"/>
        <w:gridCol w:w="1040"/>
        <w:gridCol w:w="1022"/>
        <w:gridCol w:w="1290"/>
        <w:gridCol w:w="1185"/>
        <w:gridCol w:w="899"/>
        <w:gridCol w:w="1170"/>
        <w:gridCol w:w="1170"/>
      </w:tblGrid>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序号</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证券简称</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证券代码</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交易净价</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关联方名称</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关联方角色</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工商银行二级</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2228004.IB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58,932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101.2091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工商银行二级</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2128051.IB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52,981</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102.4720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工商银行永续债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2128021.IB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115,261</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102.8447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农业银行永续债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2128038.IB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37,115</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102.9501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w:t>
            </w:r>
            <w:r>
              <w:rPr>
                <w:rFonts w:hint="eastAsia"/>
                <w:color w:val="666666"/>
                <w:sz w:val="21"/>
                <w:szCs w:val="21"/>
              </w:rPr>
              <w:t>交行</w:t>
            </w:r>
            <w:r>
              <w:rPr>
                <w:rFonts w:hint="eastAsia"/>
                <w:color w:val="666666"/>
                <w:sz w:val="21"/>
                <w:szCs w:val="21"/>
              </w:rPr>
              <w:t>TLAC</w:t>
            </w:r>
            <w:r>
              <w:rPr>
                <w:rFonts w:hint="eastAsia"/>
                <w:color w:val="666666"/>
                <w:sz w:val="21"/>
                <w:szCs w:val="21"/>
              </w:rPr>
              <w:t>非资本债</w:t>
            </w:r>
            <w:r>
              <w:rPr>
                <w:rFonts w:hint="eastAsia"/>
                <w:color w:val="666666"/>
                <w:sz w:val="21"/>
                <w:szCs w:val="21"/>
              </w:rPr>
              <w:t>01(BC)</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312410008.IB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52,535</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100.6799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无锡产业</w:t>
            </w:r>
            <w:r>
              <w:rPr>
                <w:rFonts w:hint="eastAsia"/>
                <w:color w:val="666666"/>
                <w:sz w:val="21"/>
                <w:szCs w:val="21"/>
              </w:rPr>
              <w:t>ABN001</w:t>
            </w:r>
            <w:r>
              <w:rPr>
                <w:rFonts w:hint="eastAsia"/>
                <w:color w:val="666666"/>
                <w:sz w:val="21"/>
                <w:szCs w:val="21"/>
              </w:rPr>
              <w:t>优先</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资产支持证券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082300386.IB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26,633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lastRenderedPageBreak/>
              <w:t>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工行二级资本债</w:t>
            </w:r>
            <w:r>
              <w:rPr>
                <w:rFonts w:hint="eastAsia"/>
                <w:color w:val="666666"/>
                <w:sz w:val="21"/>
                <w:szCs w:val="21"/>
              </w:rPr>
              <w:t>04A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092280134.IB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75,029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103.0025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8</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工行二级资本债</w:t>
            </w:r>
            <w:r>
              <w:rPr>
                <w:rFonts w:hint="eastAsia"/>
                <w:color w:val="666666"/>
                <w:sz w:val="21"/>
                <w:szCs w:val="21"/>
              </w:rPr>
              <w:t>03A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092280065.IB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25,387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102.8343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中国银行永续债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2128019.IB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42,104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102.7727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w:t>
            </w:r>
            <w:r>
              <w:rPr>
                <w:rFonts w:hint="eastAsia"/>
                <w:color w:val="666666"/>
                <w:sz w:val="21"/>
                <w:szCs w:val="21"/>
              </w:rPr>
              <w:t>南京旅游</w:t>
            </w:r>
            <w:r>
              <w:rPr>
                <w:rFonts w:hint="eastAsia"/>
                <w:color w:val="666666"/>
                <w:sz w:val="21"/>
                <w:szCs w:val="21"/>
              </w:rPr>
              <w:t>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102480035.IB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39,949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华润控股</w:t>
            </w:r>
            <w:r>
              <w:rPr>
                <w:rFonts w:hint="eastAsia"/>
                <w:color w:val="666666"/>
                <w:sz w:val="21"/>
                <w:szCs w:val="21"/>
              </w:rPr>
              <w:t>MTN002B</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102101238.IB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39,949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101.6083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昆山国创</w:t>
            </w:r>
            <w:r>
              <w:rPr>
                <w:rFonts w:hint="eastAsia"/>
                <w:color w:val="666666"/>
                <w:sz w:val="21"/>
                <w:szCs w:val="21"/>
              </w:rPr>
              <w:t>MTN001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企业债务融资工具</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102383289.IB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39,949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100.0000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农行永续债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242380017.IB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5,666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101.0911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w:t>
            </w:r>
            <w:r>
              <w:rPr>
                <w:rFonts w:hint="eastAsia"/>
                <w:color w:val="666666"/>
                <w:sz w:val="21"/>
                <w:szCs w:val="21"/>
              </w:rPr>
              <w:t>中行</w:t>
            </w:r>
            <w:r>
              <w:rPr>
                <w:rFonts w:hint="eastAsia"/>
                <w:color w:val="666666"/>
                <w:sz w:val="21"/>
                <w:szCs w:val="21"/>
              </w:rPr>
              <w:t>TLAC</w:t>
            </w:r>
            <w:r>
              <w:rPr>
                <w:rFonts w:hint="eastAsia"/>
                <w:color w:val="666666"/>
                <w:sz w:val="21"/>
                <w:szCs w:val="21"/>
              </w:rPr>
              <w:t>非资本债</w:t>
            </w:r>
            <w:r>
              <w:rPr>
                <w:rFonts w:hint="eastAsia"/>
                <w:color w:val="666666"/>
                <w:sz w:val="21"/>
                <w:szCs w:val="21"/>
              </w:rPr>
              <w:t>01A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312410001.IB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30,942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100.9231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工行二级资本债</w:t>
            </w:r>
            <w:r>
              <w:rPr>
                <w:rFonts w:hint="eastAsia"/>
                <w:color w:val="666666"/>
                <w:sz w:val="21"/>
                <w:szCs w:val="21"/>
              </w:rPr>
              <w:t>01A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232380015.IB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13,204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102.9707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国开</w:t>
            </w:r>
            <w:r>
              <w:rPr>
                <w:rFonts w:hint="eastAsia"/>
                <w:color w:val="666666"/>
                <w:sz w:val="21"/>
                <w:szCs w:val="21"/>
              </w:rPr>
              <w:t>10</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政策性金融债券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230210.IB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15,471</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103.0117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lastRenderedPageBreak/>
              <w:t>17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国开行二级资本债</w:t>
            </w:r>
            <w:r>
              <w:rPr>
                <w:rFonts w:hint="eastAsia"/>
                <w:color w:val="666666"/>
                <w:sz w:val="21"/>
                <w:szCs w:val="21"/>
              </w:rPr>
              <w:t>01A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政策性金融债券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092202005.IB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2,833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100.3480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18</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工商银行二级</w:t>
            </w:r>
            <w:r>
              <w:rPr>
                <w:rFonts w:hint="eastAsia"/>
                <w:color w:val="666666"/>
                <w:sz w:val="21"/>
                <w:szCs w:val="21"/>
              </w:rPr>
              <w:t>03</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2228024.IB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26,803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101.6186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农业银行永续债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2228011.IB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80,016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102.0209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工商银行永续债</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2128044.IB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16,999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103.2908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兴业银行二级</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2128032.IB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23,798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102.4163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w:t>
            </w:r>
            <w:r>
              <w:rPr>
                <w:rFonts w:hint="eastAsia"/>
                <w:color w:val="666666"/>
                <w:sz w:val="21"/>
                <w:szCs w:val="21"/>
              </w:rPr>
              <w:t>农业银行永续债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2028017.IB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13,032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101.2015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兴业银行二级</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2128042.IB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73,217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102.1024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兴业银行二级</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2228003.IB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67,550</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101.8441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25</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中国银行永续债</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2228029.IB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21,137</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103.7406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26</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农行永续债</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092280086.IB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5,666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103.2670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w:t>
            </w:r>
            <w:r>
              <w:rPr>
                <w:rFonts w:hint="eastAsia"/>
                <w:color w:val="666666"/>
                <w:sz w:val="21"/>
                <w:szCs w:val="21"/>
              </w:rPr>
              <w:lastRenderedPageBreak/>
              <w:t>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lastRenderedPageBreak/>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lastRenderedPageBreak/>
              <w:t>27</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w:t>
            </w:r>
            <w:r>
              <w:rPr>
                <w:rFonts w:hint="eastAsia"/>
                <w:color w:val="666666"/>
                <w:sz w:val="21"/>
                <w:szCs w:val="21"/>
              </w:rPr>
              <w:t>工商银行二级</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2028041.IB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15,471</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102.5530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28</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23</w:t>
            </w:r>
            <w:r>
              <w:rPr>
                <w:rFonts w:hint="eastAsia"/>
                <w:color w:val="666666"/>
                <w:sz w:val="21"/>
                <w:szCs w:val="21"/>
              </w:rPr>
              <w:t>邮储永续债</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242380019.IB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5,666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101.8545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29</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w:t>
            </w:r>
            <w:r>
              <w:rPr>
                <w:rFonts w:hint="eastAsia"/>
                <w:color w:val="666666"/>
                <w:sz w:val="21"/>
                <w:szCs w:val="21"/>
              </w:rPr>
              <w:t>农业银行永续债</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2028032.IB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9,804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102.2861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w:t>
            </w:r>
            <w:r>
              <w:rPr>
                <w:rFonts w:hint="eastAsia"/>
                <w:color w:val="666666"/>
                <w:sz w:val="21"/>
                <w:szCs w:val="21"/>
              </w:rPr>
              <w:t>工商银行二级</w:t>
            </w:r>
            <w:r>
              <w:rPr>
                <w:rFonts w:hint="eastAsia"/>
                <w:color w:val="666666"/>
                <w:sz w:val="21"/>
                <w:szCs w:val="21"/>
              </w:rPr>
              <w:t>01</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2128002.IB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9,804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103.1218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w:t>
            </w:r>
            <w:r>
              <w:rPr>
                <w:rFonts w:hint="eastAsia"/>
                <w:color w:val="666666"/>
                <w:sz w:val="21"/>
                <w:szCs w:val="21"/>
              </w:rPr>
              <w:t>工商银行二级</w:t>
            </w:r>
            <w:r>
              <w:rPr>
                <w:rFonts w:hint="eastAsia"/>
                <w:color w:val="666666"/>
                <w:sz w:val="21"/>
                <w:szCs w:val="21"/>
              </w:rPr>
              <w:t>02</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2028049.IB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9,804</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102.7777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承销团成员</w:t>
            </w:r>
          </w:p>
        </w:tc>
      </w:tr>
      <w:tr w:rsidR="00000000" w:rsidTr="009E2EC0">
        <w:trPr>
          <w:divId w:val="480388797"/>
          <w:trHeight w:val="450"/>
        </w:trPr>
        <w:tc>
          <w:tcPr>
            <w:tcW w:w="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32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22</w:t>
            </w:r>
            <w:r>
              <w:rPr>
                <w:rFonts w:hint="eastAsia"/>
                <w:color w:val="666666"/>
                <w:sz w:val="21"/>
                <w:szCs w:val="21"/>
              </w:rPr>
              <w:t>中行二级资本债</w:t>
            </w:r>
            <w:r>
              <w:rPr>
                <w:rFonts w:hint="eastAsia"/>
                <w:color w:val="666666"/>
                <w:sz w:val="21"/>
                <w:szCs w:val="21"/>
              </w:rPr>
              <w:t>02A</w:t>
            </w:r>
          </w:p>
        </w:tc>
        <w:tc>
          <w:tcPr>
            <w:tcW w:w="102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092280108.IB</w:t>
            </w:r>
          </w:p>
        </w:tc>
        <w:tc>
          <w:tcPr>
            <w:tcW w:w="11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19,609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103.1237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中国建设银行股份有限公司</w:t>
            </w:r>
            <w:r>
              <w:rPr>
                <w:rFonts w:hint="eastAsia"/>
                <w:color w:val="666666"/>
                <w:sz w:val="21"/>
                <w:szCs w:val="21"/>
              </w:rPr>
              <w:t>,</w:t>
            </w:r>
            <w:r>
              <w:rPr>
                <w:rFonts w:hint="eastAsia"/>
                <w:color w:val="666666"/>
                <w:sz w:val="21"/>
                <w:szCs w:val="21"/>
              </w:rPr>
              <w:t>中国建设银行股份有限公司</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00000" w:rsidRDefault="00DC3071">
            <w:pPr>
              <w:jc w:val="center"/>
              <w:rPr>
                <w:rFonts w:hint="eastAsia"/>
                <w:color w:val="666666"/>
                <w:sz w:val="21"/>
                <w:szCs w:val="21"/>
              </w:rPr>
            </w:pPr>
            <w:r>
              <w:rPr>
                <w:rFonts w:hint="eastAsia"/>
                <w:color w:val="666666"/>
                <w:sz w:val="21"/>
                <w:szCs w:val="21"/>
              </w:rPr>
              <w:t>主承销商或联席承销商</w:t>
            </w:r>
            <w:r>
              <w:rPr>
                <w:rFonts w:hint="eastAsia"/>
                <w:color w:val="666666"/>
                <w:sz w:val="21"/>
                <w:szCs w:val="21"/>
              </w:rPr>
              <w:t>,</w:t>
            </w:r>
            <w:r>
              <w:rPr>
                <w:rFonts w:hint="eastAsia"/>
                <w:color w:val="666666"/>
                <w:sz w:val="21"/>
                <w:szCs w:val="21"/>
              </w:rPr>
              <w:t>承销团成</w:t>
            </w:r>
            <w:r>
              <w:rPr>
                <w:rFonts w:hint="eastAsia"/>
                <w:color w:val="666666"/>
                <w:sz w:val="21"/>
                <w:szCs w:val="21"/>
              </w:rPr>
              <w:t>员</w:t>
            </w:r>
          </w:p>
        </w:tc>
      </w:tr>
    </w:tbl>
    <w:p w:rsidR="009E2EC0" w:rsidRDefault="009E2EC0" w:rsidP="009E2EC0">
      <w:pPr>
        <w:spacing w:line="555" w:lineRule="atLeast"/>
        <w:ind w:firstLineChars="200" w:firstLine="560"/>
        <w:divId w:val="616453753"/>
        <w:rPr>
          <w:sz w:val="28"/>
          <w:szCs w:val="28"/>
        </w:rPr>
      </w:pPr>
      <w:r>
        <w:rPr>
          <w:rStyle w:val="titleeight2"/>
          <w:rFonts w:hint="eastAsia"/>
          <w:sz w:val="28"/>
          <w:szCs w:val="28"/>
        </w:rPr>
        <w:t>二、理财产品投资关联方发行的资产管理产品</w:t>
      </w:r>
    </w:p>
    <w:p w:rsidR="009E2EC0" w:rsidRDefault="009E2EC0" w:rsidP="009E2EC0">
      <w:pPr>
        <w:spacing w:line="555" w:lineRule="atLeast"/>
        <w:ind w:firstLineChars="200" w:firstLine="560"/>
        <w:divId w:val="616453753"/>
        <w:rPr>
          <w:sz w:val="28"/>
          <w:szCs w:val="28"/>
        </w:rPr>
      </w:pPr>
      <w:r>
        <w:rPr>
          <w:rFonts w:hint="eastAsia"/>
          <w:sz w:val="28"/>
          <w:szCs w:val="28"/>
        </w:rPr>
        <w:t>无</w:t>
      </w:r>
    </w:p>
    <w:p w:rsidR="009E2EC0" w:rsidRDefault="009E2EC0" w:rsidP="009E2EC0">
      <w:pPr>
        <w:spacing w:line="555" w:lineRule="atLeast"/>
        <w:ind w:firstLineChars="200" w:firstLine="560"/>
        <w:divId w:val="616453753"/>
        <w:rPr>
          <w:rStyle w:val="titleeight2"/>
          <w:sz w:val="28"/>
          <w:szCs w:val="28"/>
        </w:rPr>
      </w:pPr>
      <w:r>
        <w:rPr>
          <w:rFonts w:hint="eastAsia"/>
          <w:sz w:val="28"/>
          <w:szCs w:val="28"/>
        </w:rPr>
        <w:t>三、</w:t>
      </w:r>
      <w:r>
        <w:rPr>
          <w:rStyle w:val="titleeight2"/>
          <w:rFonts w:hint="eastAsia"/>
          <w:sz w:val="28"/>
          <w:szCs w:val="28"/>
        </w:rPr>
        <w:t>其他关联交易</w:t>
      </w:r>
    </w:p>
    <w:p w:rsidR="009E2EC0" w:rsidRDefault="009E2EC0" w:rsidP="009E2EC0">
      <w:pPr>
        <w:spacing w:line="555" w:lineRule="atLeast"/>
        <w:ind w:firstLineChars="200" w:firstLine="560"/>
        <w:divId w:val="616453753"/>
        <w:rPr>
          <w:sz w:val="28"/>
          <w:szCs w:val="28"/>
        </w:rPr>
      </w:pPr>
      <w:r>
        <w:rPr>
          <w:rStyle w:val="titleeight2"/>
          <w:rFonts w:hint="eastAsia"/>
          <w:sz w:val="28"/>
          <w:szCs w:val="28"/>
        </w:rPr>
        <w:t>无</w:t>
      </w:r>
    </w:p>
    <w:p w:rsidR="00000000" w:rsidRDefault="00DC3071">
      <w:pPr>
        <w:spacing w:line="555" w:lineRule="atLeast"/>
        <w:divId w:val="616453753"/>
        <w:rPr>
          <w:rFonts w:hint="eastAsia"/>
          <w:sz w:val="28"/>
          <w:szCs w:val="28"/>
        </w:rPr>
      </w:pPr>
      <w:r>
        <w:rPr>
          <w:rFonts w:hint="eastAsia"/>
          <w:sz w:val="28"/>
          <w:szCs w:val="28"/>
        </w:rPr>
        <w:t>  </w:t>
      </w:r>
      <w:r>
        <w:rPr>
          <w:rFonts w:hint="eastAsia"/>
          <w:sz w:val="28"/>
          <w:szCs w:val="28"/>
        </w:rPr>
        <w:t>特此公告</w:t>
      </w:r>
    </w:p>
    <w:p w:rsidR="00DC3071" w:rsidRDefault="00DC3071">
      <w:pPr>
        <w:spacing w:line="555" w:lineRule="atLeast"/>
        <w:jc w:val="right"/>
        <w:divId w:val="295794145"/>
        <w:rPr>
          <w:rFonts w:hint="eastAsia"/>
          <w:sz w:val="28"/>
          <w:szCs w:val="28"/>
        </w:rPr>
      </w:pPr>
      <w:r>
        <w:rPr>
          <w:rFonts w:hint="eastAsia"/>
          <w:sz w:val="28"/>
          <w:szCs w:val="28"/>
        </w:rPr>
        <w:t>建信理财有限责任公司</w:t>
      </w:r>
      <w:r>
        <w:rPr>
          <w:rFonts w:hint="eastAsia"/>
          <w:sz w:val="28"/>
          <w:szCs w:val="28"/>
        </w:rPr>
        <w:br/>
        <w:t>2024</w:t>
      </w:r>
      <w:r>
        <w:rPr>
          <w:rFonts w:hint="eastAsia"/>
          <w:sz w:val="28"/>
          <w:szCs w:val="28"/>
        </w:rPr>
        <w:t>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w:t>
      </w:r>
    </w:p>
    <w:sectPr w:rsidR="00DC3071">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071" w:rsidRDefault="00DC3071" w:rsidP="009E2EC0">
      <w:r>
        <w:separator/>
      </w:r>
    </w:p>
  </w:endnote>
  <w:endnote w:type="continuationSeparator" w:id="0">
    <w:p w:rsidR="00DC3071" w:rsidRDefault="00DC3071" w:rsidP="009E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071" w:rsidRDefault="00DC3071" w:rsidP="009E2EC0">
      <w:r>
        <w:separator/>
      </w:r>
    </w:p>
  </w:footnote>
  <w:footnote w:type="continuationSeparator" w:id="0">
    <w:p w:rsidR="00DC3071" w:rsidRDefault="00DC3071" w:rsidP="009E2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E2EC0"/>
    <w:rsid w:val="009E2EC0"/>
    <w:rsid w:val="00DC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E84B9"/>
  <w15:chartTrackingRefBased/>
  <w15:docId w15:val="{B90B4760-5E53-424B-B57F-071FB546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9E2E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2EC0"/>
    <w:rPr>
      <w:rFonts w:ascii="宋体" w:eastAsia="宋体" w:hAnsi="宋体" w:cs="宋体"/>
      <w:sz w:val="18"/>
      <w:szCs w:val="18"/>
    </w:rPr>
  </w:style>
  <w:style w:type="paragraph" w:styleId="a5">
    <w:name w:val="footer"/>
    <w:basedOn w:val="a"/>
    <w:link w:val="a6"/>
    <w:uiPriority w:val="99"/>
    <w:unhideWhenUsed/>
    <w:rsid w:val="009E2EC0"/>
    <w:pPr>
      <w:tabs>
        <w:tab w:val="center" w:pos="4153"/>
        <w:tab w:val="right" w:pos="8306"/>
      </w:tabs>
      <w:snapToGrid w:val="0"/>
    </w:pPr>
    <w:rPr>
      <w:sz w:val="18"/>
      <w:szCs w:val="18"/>
    </w:rPr>
  </w:style>
  <w:style w:type="character" w:customStyle="1" w:styleId="a6">
    <w:name w:val="页脚 字符"/>
    <w:basedOn w:val="a0"/>
    <w:link w:val="a5"/>
    <w:uiPriority w:val="99"/>
    <w:rsid w:val="009E2EC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856509">
      <w:marLeft w:val="0"/>
      <w:marRight w:val="0"/>
      <w:marTop w:val="0"/>
      <w:marBottom w:val="0"/>
      <w:divBdr>
        <w:top w:val="none" w:sz="0" w:space="0" w:color="auto"/>
        <w:left w:val="none" w:sz="0" w:space="0" w:color="auto"/>
        <w:bottom w:val="none" w:sz="0" w:space="0" w:color="auto"/>
        <w:right w:val="none" w:sz="0" w:space="0" w:color="auto"/>
      </w:divBdr>
      <w:divsChild>
        <w:div w:id="2060275434">
          <w:marLeft w:val="0"/>
          <w:marRight w:val="0"/>
          <w:marTop w:val="0"/>
          <w:marBottom w:val="0"/>
          <w:divBdr>
            <w:top w:val="none" w:sz="0" w:space="0" w:color="auto"/>
            <w:left w:val="none" w:sz="0" w:space="0" w:color="auto"/>
            <w:bottom w:val="none" w:sz="0" w:space="0" w:color="auto"/>
            <w:right w:val="none" w:sz="0" w:space="0" w:color="auto"/>
          </w:divBdr>
          <w:divsChild>
            <w:div w:id="1421025042">
              <w:marLeft w:val="0"/>
              <w:marRight w:val="0"/>
              <w:marTop w:val="0"/>
              <w:marBottom w:val="0"/>
              <w:divBdr>
                <w:top w:val="none" w:sz="0" w:space="0" w:color="auto"/>
                <w:left w:val="none" w:sz="0" w:space="0" w:color="auto"/>
                <w:bottom w:val="none" w:sz="0" w:space="0" w:color="auto"/>
                <w:right w:val="none" w:sz="0" w:space="0" w:color="auto"/>
              </w:divBdr>
              <w:divsChild>
                <w:div w:id="616453753">
                  <w:marLeft w:val="0"/>
                  <w:marRight w:val="0"/>
                  <w:marTop w:val="150"/>
                  <w:marBottom w:val="0"/>
                  <w:divBdr>
                    <w:top w:val="none" w:sz="0" w:space="0" w:color="auto"/>
                    <w:left w:val="none" w:sz="0" w:space="0" w:color="auto"/>
                    <w:bottom w:val="none" w:sz="0" w:space="0" w:color="auto"/>
                    <w:right w:val="none" w:sz="0" w:space="0" w:color="auto"/>
                  </w:divBdr>
                </w:div>
                <w:div w:id="2957941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53643718">
      <w:marLeft w:val="0"/>
      <w:marRight w:val="0"/>
      <w:marTop w:val="0"/>
      <w:marBottom w:val="0"/>
      <w:divBdr>
        <w:top w:val="none" w:sz="0" w:space="0" w:color="auto"/>
        <w:left w:val="none" w:sz="0" w:space="0" w:color="auto"/>
        <w:bottom w:val="none" w:sz="0" w:space="0" w:color="auto"/>
        <w:right w:val="none" w:sz="0" w:space="0" w:color="auto"/>
      </w:divBdr>
      <w:divsChild>
        <w:div w:id="1885361275">
          <w:marLeft w:val="0"/>
          <w:marRight w:val="0"/>
          <w:marTop w:val="0"/>
          <w:marBottom w:val="0"/>
          <w:divBdr>
            <w:top w:val="none" w:sz="0" w:space="0" w:color="auto"/>
            <w:left w:val="none" w:sz="0" w:space="0" w:color="auto"/>
            <w:bottom w:val="none" w:sz="0" w:space="0" w:color="auto"/>
            <w:right w:val="none" w:sz="0" w:space="0" w:color="auto"/>
          </w:divBdr>
          <w:divsChild>
            <w:div w:id="508301766">
              <w:marLeft w:val="0"/>
              <w:marRight w:val="0"/>
              <w:marTop w:val="0"/>
              <w:marBottom w:val="0"/>
              <w:divBdr>
                <w:top w:val="none" w:sz="0" w:space="0" w:color="auto"/>
                <w:left w:val="none" w:sz="0" w:space="0" w:color="auto"/>
                <w:bottom w:val="none" w:sz="0" w:space="0" w:color="auto"/>
                <w:right w:val="none" w:sz="0" w:space="0" w:color="auto"/>
              </w:divBdr>
              <w:divsChild>
                <w:div w:id="1127117234">
                  <w:marLeft w:val="0"/>
                  <w:marRight w:val="0"/>
                  <w:marTop w:val="150"/>
                  <w:marBottom w:val="0"/>
                  <w:divBdr>
                    <w:top w:val="none" w:sz="0" w:space="0" w:color="auto"/>
                    <w:left w:val="none" w:sz="0" w:space="0" w:color="auto"/>
                    <w:bottom w:val="none" w:sz="0" w:space="0" w:color="auto"/>
                    <w:right w:val="none" w:sz="0" w:space="0" w:color="auto"/>
                  </w:divBdr>
                </w:div>
                <w:div w:id="685594891">
                  <w:marLeft w:val="150"/>
                  <w:marRight w:val="0"/>
                  <w:marTop w:val="150"/>
                  <w:marBottom w:val="0"/>
                  <w:divBdr>
                    <w:top w:val="none" w:sz="0" w:space="0" w:color="auto"/>
                    <w:left w:val="none" w:sz="0" w:space="0" w:color="auto"/>
                    <w:bottom w:val="none" w:sz="0" w:space="0" w:color="auto"/>
                    <w:right w:val="none" w:sz="0" w:space="0" w:color="auto"/>
                  </w:divBdr>
                  <w:divsChild>
                    <w:div w:id="14139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5832">
      <w:marLeft w:val="0"/>
      <w:marRight w:val="0"/>
      <w:marTop w:val="0"/>
      <w:marBottom w:val="0"/>
      <w:divBdr>
        <w:top w:val="none" w:sz="0" w:space="0" w:color="auto"/>
        <w:left w:val="none" w:sz="0" w:space="0" w:color="auto"/>
        <w:bottom w:val="none" w:sz="0" w:space="0" w:color="auto"/>
        <w:right w:val="none" w:sz="0" w:space="0" w:color="auto"/>
      </w:divBdr>
      <w:divsChild>
        <w:div w:id="530456062">
          <w:marLeft w:val="0"/>
          <w:marRight w:val="0"/>
          <w:marTop w:val="0"/>
          <w:marBottom w:val="0"/>
          <w:divBdr>
            <w:top w:val="none" w:sz="0" w:space="0" w:color="auto"/>
            <w:left w:val="none" w:sz="0" w:space="0" w:color="auto"/>
            <w:bottom w:val="none" w:sz="0" w:space="0" w:color="auto"/>
            <w:right w:val="none" w:sz="0" w:space="0" w:color="auto"/>
          </w:divBdr>
          <w:divsChild>
            <w:div w:id="1622610282">
              <w:marLeft w:val="0"/>
              <w:marRight w:val="0"/>
              <w:marTop w:val="0"/>
              <w:marBottom w:val="0"/>
              <w:divBdr>
                <w:top w:val="none" w:sz="0" w:space="0" w:color="auto"/>
                <w:left w:val="none" w:sz="0" w:space="0" w:color="auto"/>
                <w:bottom w:val="none" w:sz="0" w:space="0" w:color="auto"/>
                <w:right w:val="none" w:sz="0" w:space="0" w:color="auto"/>
              </w:divBdr>
              <w:divsChild>
                <w:div w:id="578707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93056357">
      <w:marLeft w:val="0"/>
      <w:marRight w:val="0"/>
      <w:marTop w:val="0"/>
      <w:marBottom w:val="0"/>
      <w:divBdr>
        <w:top w:val="none" w:sz="0" w:space="0" w:color="auto"/>
        <w:left w:val="none" w:sz="0" w:space="0" w:color="auto"/>
        <w:bottom w:val="none" w:sz="0" w:space="0" w:color="auto"/>
        <w:right w:val="none" w:sz="0" w:space="0" w:color="auto"/>
      </w:divBdr>
      <w:divsChild>
        <w:div w:id="627008900">
          <w:marLeft w:val="0"/>
          <w:marRight w:val="0"/>
          <w:marTop w:val="0"/>
          <w:marBottom w:val="0"/>
          <w:divBdr>
            <w:top w:val="none" w:sz="0" w:space="0" w:color="auto"/>
            <w:left w:val="none" w:sz="0" w:space="0" w:color="auto"/>
            <w:bottom w:val="none" w:sz="0" w:space="0" w:color="auto"/>
            <w:right w:val="none" w:sz="0" w:space="0" w:color="auto"/>
          </w:divBdr>
          <w:divsChild>
            <w:div w:id="882333126">
              <w:marLeft w:val="0"/>
              <w:marRight w:val="0"/>
              <w:marTop w:val="0"/>
              <w:marBottom w:val="0"/>
              <w:divBdr>
                <w:top w:val="none" w:sz="0" w:space="0" w:color="auto"/>
                <w:left w:val="none" w:sz="0" w:space="0" w:color="auto"/>
                <w:bottom w:val="none" w:sz="0" w:space="0" w:color="auto"/>
                <w:right w:val="none" w:sz="0" w:space="0" w:color="auto"/>
              </w:divBdr>
              <w:divsChild>
                <w:div w:id="369692147">
                  <w:marLeft w:val="0"/>
                  <w:marRight w:val="0"/>
                  <w:marTop w:val="150"/>
                  <w:marBottom w:val="0"/>
                  <w:divBdr>
                    <w:top w:val="none" w:sz="0" w:space="0" w:color="auto"/>
                    <w:left w:val="none" w:sz="0" w:space="0" w:color="auto"/>
                    <w:bottom w:val="none" w:sz="0" w:space="0" w:color="auto"/>
                    <w:right w:val="none" w:sz="0" w:space="0" w:color="auto"/>
                  </w:divBdr>
                </w:div>
                <w:div w:id="610362868">
                  <w:marLeft w:val="0"/>
                  <w:marRight w:val="0"/>
                  <w:marTop w:val="150"/>
                  <w:marBottom w:val="0"/>
                  <w:divBdr>
                    <w:top w:val="none" w:sz="0" w:space="0" w:color="auto"/>
                    <w:left w:val="none" w:sz="0" w:space="0" w:color="auto"/>
                    <w:bottom w:val="none" w:sz="0" w:space="0" w:color="auto"/>
                    <w:right w:val="none" w:sz="0" w:space="0" w:color="auto"/>
                  </w:divBdr>
                </w:div>
                <w:div w:id="14555177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04855230">
      <w:marLeft w:val="0"/>
      <w:marRight w:val="0"/>
      <w:marTop w:val="0"/>
      <w:marBottom w:val="0"/>
      <w:divBdr>
        <w:top w:val="none" w:sz="0" w:space="0" w:color="auto"/>
        <w:left w:val="none" w:sz="0" w:space="0" w:color="auto"/>
        <w:bottom w:val="none" w:sz="0" w:space="0" w:color="auto"/>
        <w:right w:val="none" w:sz="0" w:space="0" w:color="auto"/>
      </w:divBdr>
      <w:divsChild>
        <w:div w:id="1236479250">
          <w:marLeft w:val="0"/>
          <w:marRight w:val="0"/>
          <w:marTop w:val="0"/>
          <w:marBottom w:val="0"/>
          <w:divBdr>
            <w:top w:val="none" w:sz="0" w:space="0" w:color="auto"/>
            <w:left w:val="none" w:sz="0" w:space="0" w:color="auto"/>
            <w:bottom w:val="none" w:sz="0" w:space="0" w:color="auto"/>
            <w:right w:val="none" w:sz="0" w:space="0" w:color="auto"/>
          </w:divBdr>
          <w:divsChild>
            <w:div w:id="180047005">
              <w:marLeft w:val="0"/>
              <w:marRight w:val="0"/>
              <w:marTop w:val="0"/>
              <w:marBottom w:val="0"/>
              <w:divBdr>
                <w:top w:val="none" w:sz="0" w:space="0" w:color="auto"/>
                <w:left w:val="none" w:sz="0" w:space="0" w:color="auto"/>
                <w:bottom w:val="none" w:sz="0" w:space="0" w:color="auto"/>
                <w:right w:val="none" w:sz="0" w:space="0" w:color="auto"/>
              </w:divBdr>
              <w:divsChild>
                <w:div w:id="1326667910">
                  <w:marLeft w:val="0"/>
                  <w:marRight w:val="0"/>
                  <w:marTop w:val="150"/>
                  <w:marBottom w:val="0"/>
                  <w:divBdr>
                    <w:top w:val="none" w:sz="0" w:space="0" w:color="auto"/>
                    <w:left w:val="none" w:sz="0" w:space="0" w:color="auto"/>
                    <w:bottom w:val="none" w:sz="0" w:space="0" w:color="auto"/>
                    <w:right w:val="none" w:sz="0" w:space="0" w:color="auto"/>
                  </w:divBdr>
                </w:div>
                <w:div w:id="901063257">
                  <w:marLeft w:val="150"/>
                  <w:marRight w:val="0"/>
                  <w:marTop w:val="150"/>
                  <w:marBottom w:val="0"/>
                  <w:divBdr>
                    <w:top w:val="none" w:sz="0" w:space="0" w:color="auto"/>
                    <w:left w:val="none" w:sz="0" w:space="0" w:color="auto"/>
                    <w:bottom w:val="none" w:sz="0" w:space="0" w:color="auto"/>
                    <w:right w:val="none" w:sz="0" w:space="0" w:color="auto"/>
                  </w:divBdr>
                  <w:divsChild>
                    <w:div w:id="480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03530">
      <w:marLeft w:val="0"/>
      <w:marRight w:val="0"/>
      <w:marTop w:val="0"/>
      <w:marBottom w:val="0"/>
      <w:divBdr>
        <w:top w:val="none" w:sz="0" w:space="0" w:color="auto"/>
        <w:left w:val="none" w:sz="0" w:space="0" w:color="auto"/>
        <w:bottom w:val="none" w:sz="0" w:space="0" w:color="auto"/>
        <w:right w:val="none" w:sz="0" w:space="0" w:color="auto"/>
      </w:divBdr>
      <w:divsChild>
        <w:div w:id="796409915">
          <w:marLeft w:val="0"/>
          <w:marRight w:val="0"/>
          <w:marTop w:val="0"/>
          <w:marBottom w:val="0"/>
          <w:divBdr>
            <w:top w:val="none" w:sz="0" w:space="0" w:color="auto"/>
            <w:left w:val="none" w:sz="0" w:space="0" w:color="auto"/>
            <w:bottom w:val="none" w:sz="0" w:space="0" w:color="auto"/>
            <w:right w:val="none" w:sz="0" w:space="0" w:color="auto"/>
          </w:divBdr>
          <w:divsChild>
            <w:div w:id="1581133061">
              <w:marLeft w:val="0"/>
              <w:marRight w:val="0"/>
              <w:marTop w:val="0"/>
              <w:marBottom w:val="0"/>
              <w:divBdr>
                <w:top w:val="none" w:sz="0" w:space="0" w:color="auto"/>
                <w:left w:val="none" w:sz="0" w:space="0" w:color="auto"/>
                <w:bottom w:val="none" w:sz="0" w:space="0" w:color="auto"/>
                <w:right w:val="none" w:sz="0" w:space="0" w:color="auto"/>
              </w:divBdr>
              <w:divsChild>
                <w:div w:id="669020732">
                  <w:marLeft w:val="0"/>
                  <w:marRight w:val="0"/>
                  <w:marTop w:val="150"/>
                  <w:marBottom w:val="0"/>
                  <w:divBdr>
                    <w:top w:val="none" w:sz="0" w:space="0" w:color="auto"/>
                    <w:left w:val="none" w:sz="0" w:space="0" w:color="auto"/>
                    <w:bottom w:val="none" w:sz="0" w:space="0" w:color="auto"/>
                    <w:right w:val="none" w:sz="0" w:space="0" w:color="auto"/>
                  </w:divBdr>
                </w:div>
                <w:div w:id="457921209">
                  <w:marLeft w:val="0"/>
                  <w:marRight w:val="0"/>
                  <w:marTop w:val="150"/>
                  <w:marBottom w:val="0"/>
                  <w:divBdr>
                    <w:top w:val="none" w:sz="0" w:space="0" w:color="auto"/>
                    <w:left w:val="none" w:sz="0" w:space="0" w:color="auto"/>
                    <w:bottom w:val="none" w:sz="0" w:space="0" w:color="auto"/>
                    <w:right w:val="none" w:sz="0" w:space="0" w:color="auto"/>
                  </w:divBdr>
                </w:div>
                <w:div w:id="913441685">
                  <w:marLeft w:val="0"/>
                  <w:marRight w:val="0"/>
                  <w:marTop w:val="150"/>
                  <w:marBottom w:val="0"/>
                  <w:divBdr>
                    <w:top w:val="none" w:sz="0" w:space="0" w:color="auto"/>
                    <w:left w:val="none" w:sz="0" w:space="0" w:color="auto"/>
                    <w:bottom w:val="none" w:sz="0" w:space="0" w:color="auto"/>
                    <w:right w:val="none" w:sz="0" w:space="0" w:color="auto"/>
                  </w:divBdr>
                </w:div>
                <w:div w:id="1758865543">
                  <w:marLeft w:val="0"/>
                  <w:marRight w:val="0"/>
                  <w:marTop w:val="150"/>
                  <w:marBottom w:val="0"/>
                  <w:divBdr>
                    <w:top w:val="none" w:sz="0" w:space="0" w:color="auto"/>
                    <w:left w:val="none" w:sz="0" w:space="0" w:color="auto"/>
                    <w:bottom w:val="none" w:sz="0" w:space="0" w:color="auto"/>
                    <w:right w:val="none" w:sz="0" w:space="0" w:color="auto"/>
                  </w:divBdr>
                </w:div>
                <w:div w:id="273291784">
                  <w:marLeft w:val="150"/>
                  <w:marRight w:val="0"/>
                  <w:marTop w:val="0"/>
                  <w:marBottom w:val="0"/>
                  <w:divBdr>
                    <w:top w:val="none" w:sz="0" w:space="0" w:color="auto"/>
                    <w:left w:val="none" w:sz="0" w:space="0" w:color="auto"/>
                    <w:bottom w:val="none" w:sz="0" w:space="0" w:color="auto"/>
                    <w:right w:val="none" w:sz="0" w:space="0" w:color="auto"/>
                  </w:divBdr>
                  <w:divsChild>
                    <w:div w:id="311448372">
                      <w:marLeft w:val="0"/>
                      <w:marRight w:val="0"/>
                      <w:marTop w:val="0"/>
                      <w:marBottom w:val="0"/>
                      <w:divBdr>
                        <w:top w:val="none" w:sz="0" w:space="0" w:color="auto"/>
                        <w:left w:val="none" w:sz="0" w:space="0" w:color="auto"/>
                        <w:bottom w:val="none" w:sz="0" w:space="0" w:color="auto"/>
                        <w:right w:val="none" w:sz="0" w:space="0" w:color="auto"/>
                      </w:divBdr>
                    </w:div>
                  </w:divsChild>
                </w:div>
                <w:div w:id="1137799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77623338">
      <w:marLeft w:val="0"/>
      <w:marRight w:val="0"/>
      <w:marTop w:val="0"/>
      <w:marBottom w:val="0"/>
      <w:divBdr>
        <w:top w:val="none" w:sz="0" w:space="0" w:color="auto"/>
        <w:left w:val="none" w:sz="0" w:space="0" w:color="auto"/>
        <w:bottom w:val="none" w:sz="0" w:space="0" w:color="auto"/>
        <w:right w:val="none" w:sz="0" w:space="0" w:color="auto"/>
      </w:divBdr>
      <w:divsChild>
        <w:div w:id="1997299787">
          <w:marLeft w:val="0"/>
          <w:marRight w:val="0"/>
          <w:marTop w:val="0"/>
          <w:marBottom w:val="0"/>
          <w:divBdr>
            <w:top w:val="none" w:sz="0" w:space="0" w:color="auto"/>
            <w:left w:val="none" w:sz="0" w:space="0" w:color="auto"/>
            <w:bottom w:val="none" w:sz="0" w:space="0" w:color="auto"/>
            <w:right w:val="none" w:sz="0" w:space="0" w:color="auto"/>
          </w:divBdr>
          <w:divsChild>
            <w:div w:id="501049648">
              <w:marLeft w:val="0"/>
              <w:marRight w:val="0"/>
              <w:marTop w:val="0"/>
              <w:marBottom w:val="0"/>
              <w:divBdr>
                <w:top w:val="none" w:sz="0" w:space="0" w:color="auto"/>
                <w:left w:val="none" w:sz="0" w:space="0" w:color="auto"/>
                <w:bottom w:val="none" w:sz="0" w:space="0" w:color="auto"/>
                <w:right w:val="none" w:sz="0" w:space="0" w:color="auto"/>
              </w:divBdr>
              <w:divsChild>
                <w:div w:id="1406029903">
                  <w:marLeft w:val="0"/>
                  <w:marRight w:val="0"/>
                  <w:marTop w:val="150"/>
                  <w:marBottom w:val="0"/>
                  <w:divBdr>
                    <w:top w:val="none" w:sz="0" w:space="0" w:color="auto"/>
                    <w:left w:val="none" w:sz="0" w:space="0" w:color="auto"/>
                    <w:bottom w:val="none" w:sz="0" w:space="0" w:color="auto"/>
                    <w:right w:val="none" w:sz="0" w:space="0" w:color="auto"/>
                  </w:divBdr>
                </w:div>
                <w:div w:id="480585008">
                  <w:marLeft w:val="150"/>
                  <w:marRight w:val="0"/>
                  <w:marTop w:val="150"/>
                  <w:marBottom w:val="0"/>
                  <w:divBdr>
                    <w:top w:val="none" w:sz="0" w:space="0" w:color="auto"/>
                    <w:left w:val="none" w:sz="0" w:space="0" w:color="auto"/>
                    <w:bottom w:val="none" w:sz="0" w:space="0" w:color="auto"/>
                    <w:right w:val="none" w:sz="0" w:space="0" w:color="auto"/>
                  </w:divBdr>
                  <w:divsChild>
                    <w:div w:id="1920478008">
                      <w:marLeft w:val="0"/>
                      <w:marRight w:val="0"/>
                      <w:marTop w:val="0"/>
                      <w:marBottom w:val="0"/>
                      <w:divBdr>
                        <w:top w:val="none" w:sz="0" w:space="0" w:color="auto"/>
                        <w:left w:val="none" w:sz="0" w:space="0" w:color="auto"/>
                        <w:bottom w:val="none" w:sz="0" w:space="0" w:color="auto"/>
                        <w:right w:val="none" w:sz="0" w:space="0" w:color="auto"/>
                      </w:divBdr>
                    </w:div>
                  </w:divsChild>
                </w:div>
                <w:div w:id="1179807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40084477">
      <w:marLeft w:val="0"/>
      <w:marRight w:val="0"/>
      <w:marTop w:val="0"/>
      <w:marBottom w:val="0"/>
      <w:divBdr>
        <w:top w:val="none" w:sz="0" w:space="0" w:color="auto"/>
        <w:left w:val="none" w:sz="0" w:space="0" w:color="auto"/>
        <w:bottom w:val="none" w:sz="0" w:space="0" w:color="auto"/>
        <w:right w:val="none" w:sz="0" w:space="0" w:color="auto"/>
      </w:divBdr>
      <w:divsChild>
        <w:div w:id="2068213279">
          <w:marLeft w:val="0"/>
          <w:marRight w:val="0"/>
          <w:marTop w:val="0"/>
          <w:marBottom w:val="0"/>
          <w:divBdr>
            <w:top w:val="none" w:sz="0" w:space="0" w:color="auto"/>
            <w:left w:val="none" w:sz="0" w:space="0" w:color="auto"/>
            <w:bottom w:val="none" w:sz="0" w:space="0" w:color="auto"/>
            <w:right w:val="none" w:sz="0" w:space="0" w:color="auto"/>
          </w:divBdr>
          <w:divsChild>
            <w:div w:id="1000349254">
              <w:marLeft w:val="0"/>
              <w:marRight w:val="0"/>
              <w:marTop w:val="0"/>
              <w:marBottom w:val="0"/>
              <w:divBdr>
                <w:top w:val="none" w:sz="0" w:space="0" w:color="auto"/>
                <w:left w:val="none" w:sz="0" w:space="0" w:color="auto"/>
                <w:bottom w:val="none" w:sz="0" w:space="0" w:color="auto"/>
                <w:right w:val="none" w:sz="0" w:space="0" w:color="auto"/>
              </w:divBdr>
              <w:divsChild>
                <w:div w:id="967123985">
                  <w:marLeft w:val="0"/>
                  <w:marRight w:val="0"/>
                  <w:marTop w:val="150"/>
                  <w:marBottom w:val="0"/>
                  <w:divBdr>
                    <w:top w:val="none" w:sz="0" w:space="0" w:color="auto"/>
                    <w:left w:val="none" w:sz="0" w:space="0" w:color="auto"/>
                    <w:bottom w:val="none" w:sz="0" w:space="0" w:color="auto"/>
                    <w:right w:val="none" w:sz="0" w:space="0" w:color="auto"/>
                  </w:divBdr>
                </w:div>
                <w:div w:id="1384717632">
                  <w:marLeft w:val="150"/>
                  <w:marRight w:val="0"/>
                  <w:marTop w:val="150"/>
                  <w:marBottom w:val="0"/>
                  <w:divBdr>
                    <w:top w:val="none" w:sz="0" w:space="0" w:color="auto"/>
                    <w:left w:val="none" w:sz="0" w:space="0" w:color="auto"/>
                    <w:bottom w:val="none" w:sz="0" w:space="0" w:color="auto"/>
                    <w:right w:val="none" w:sz="0" w:space="0" w:color="auto"/>
                  </w:divBdr>
                  <w:divsChild>
                    <w:div w:id="1086609566">
                      <w:marLeft w:val="0"/>
                      <w:marRight w:val="0"/>
                      <w:marTop w:val="0"/>
                      <w:marBottom w:val="0"/>
                      <w:divBdr>
                        <w:top w:val="none" w:sz="0" w:space="0" w:color="auto"/>
                        <w:left w:val="none" w:sz="0" w:space="0" w:color="auto"/>
                        <w:bottom w:val="none" w:sz="0" w:space="0" w:color="auto"/>
                        <w:right w:val="none" w:sz="0" w:space="0" w:color="auto"/>
                      </w:divBdr>
                    </w:div>
                  </w:divsChild>
                </w:div>
                <w:div w:id="882644323">
                  <w:marLeft w:val="0"/>
                  <w:marRight w:val="0"/>
                  <w:marTop w:val="150"/>
                  <w:marBottom w:val="0"/>
                  <w:divBdr>
                    <w:top w:val="none" w:sz="0" w:space="0" w:color="auto"/>
                    <w:left w:val="none" w:sz="0" w:space="0" w:color="auto"/>
                    <w:bottom w:val="none" w:sz="0" w:space="0" w:color="auto"/>
                    <w:right w:val="none" w:sz="0" w:space="0" w:color="auto"/>
                  </w:divBdr>
                </w:div>
                <w:div w:id="20175333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47177505">
      <w:marLeft w:val="0"/>
      <w:marRight w:val="0"/>
      <w:marTop w:val="0"/>
      <w:marBottom w:val="0"/>
      <w:divBdr>
        <w:top w:val="none" w:sz="0" w:space="0" w:color="auto"/>
        <w:left w:val="none" w:sz="0" w:space="0" w:color="auto"/>
        <w:bottom w:val="none" w:sz="0" w:space="0" w:color="auto"/>
        <w:right w:val="none" w:sz="0" w:space="0" w:color="auto"/>
      </w:divBdr>
      <w:divsChild>
        <w:div w:id="453061617">
          <w:marLeft w:val="0"/>
          <w:marRight w:val="0"/>
          <w:marTop w:val="0"/>
          <w:marBottom w:val="0"/>
          <w:divBdr>
            <w:top w:val="none" w:sz="0" w:space="0" w:color="auto"/>
            <w:left w:val="none" w:sz="0" w:space="0" w:color="auto"/>
            <w:bottom w:val="none" w:sz="0" w:space="0" w:color="auto"/>
            <w:right w:val="none" w:sz="0" w:space="0" w:color="auto"/>
          </w:divBdr>
          <w:divsChild>
            <w:div w:id="1558202480">
              <w:marLeft w:val="0"/>
              <w:marRight w:val="0"/>
              <w:marTop w:val="0"/>
              <w:marBottom w:val="0"/>
              <w:divBdr>
                <w:top w:val="none" w:sz="0" w:space="0" w:color="auto"/>
                <w:left w:val="none" w:sz="0" w:space="0" w:color="auto"/>
                <w:bottom w:val="none" w:sz="0" w:space="0" w:color="auto"/>
                <w:right w:val="none" w:sz="0" w:space="0" w:color="auto"/>
              </w:divBdr>
              <w:divsChild>
                <w:div w:id="2019036751">
                  <w:marLeft w:val="0"/>
                  <w:marRight w:val="0"/>
                  <w:marTop w:val="150"/>
                  <w:marBottom w:val="0"/>
                  <w:divBdr>
                    <w:top w:val="none" w:sz="0" w:space="0" w:color="auto"/>
                    <w:left w:val="none" w:sz="0" w:space="0" w:color="auto"/>
                    <w:bottom w:val="none" w:sz="0" w:space="0" w:color="auto"/>
                    <w:right w:val="none" w:sz="0" w:space="0" w:color="auto"/>
                  </w:divBdr>
                </w:div>
                <w:div w:id="16735652">
                  <w:marLeft w:val="0"/>
                  <w:marRight w:val="0"/>
                  <w:marTop w:val="150"/>
                  <w:marBottom w:val="0"/>
                  <w:divBdr>
                    <w:top w:val="none" w:sz="0" w:space="0" w:color="auto"/>
                    <w:left w:val="none" w:sz="0" w:space="0" w:color="auto"/>
                    <w:bottom w:val="none" w:sz="0" w:space="0" w:color="auto"/>
                    <w:right w:val="none" w:sz="0" w:space="0" w:color="auto"/>
                  </w:divBdr>
                </w:div>
                <w:div w:id="661475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88480953">
      <w:marLeft w:val="0"/>
      <w:marRight w:val="0"/>
      <w:marTop w:val="0"/>
      <w:marBottom w:val="0"/>
      <w:divBdr>
        <w:top w:val="none" w:sz="0" w:space="0" w:color="auto"/>
        <w:left w:val="none" w:sz="0" w:space="0" w:color="auto"/>
        <w:bottom w:val="none" w:sz="0" w:space="0" w:color="auto"/>
        <w:right w:val="none" w:sz="0" w:space="0" w:color="auto"/>
      </w:divBdr>
      <w:divsChild>
        <w:div w:id="549146559">
          <w:marLeft w:val="0"/>
          <w:marRight w:val="0"/>
          <w:marTop w:val="0"/>
          <w:marBottom w:val="0"/>
          <w:divBdr>
            <w:top w:val="none" w:sz="0" w:space="0" w:color="auto"/>
            <w:left w:val="none" w:sz="0" w:space="0" w:color="auto"/>
            <w:bottom w:val="none" w:sz="0" w:space="0" w:color="auto"/>
            <w:right w:val="none" w:sz="0" w:space="0" w:color="auto"/>
          </w:divBdr>
          <w:divsChild>
            <w:div w:id="137109994">
              <w:marLeft w:val="0"/>
              <w:marRight w:val="0"/>
              <w:marTop w:val="0"/>
              <w:marBottom w:val="0"/>
              <w:divBdr>
                <w:top w:val="none" w:sz="0" w:space="0" w:color="auto"/>
                <w:left w:val="none" w:sz="0" w:space="0" w:color="auto"/>
                <w:bottom w:val="none" w:sz="0" w:space="0" w:color="auto"/>
                <w:right w:val="none" w:sz="0" w:space="0" w:color="auto"/>
              </w:divBdr>
              <w:divsChild>
                <w:div w:id="581379934">
                  <w:marLeft w:val="0"/>
                  <w:marRight w:val="0"/>
                  <w:marTop w:val="150"/>
                  <w:marBottom w:val="0"/>
                  <w:divBdr>
                    <w:top w:val="none" w:sz="0" w:space="0" w:color="auto"/>
                    <w:left w:val="none" w:sz="0" w:space="0" w:color="auto"/>
                    <w:bottom w:val="none" w:sz="0" w:space="0" w:color="auto"/>
                    <w:right w:val="none" w:sz="0" w:space="0" w:color="auto"/>
                  </w:divBdr>
                </w:div>
                <w:div w:id="1402944331">
                  <w:marLeft w:val="0"/>
                  <w:marRight w:val="0"/>
                  <w:marTop w:val="150"/>
                  <w:marBottom w:val="0"/>
                  <w:divBdr>
                    <w:top w:val="none" w:sz="0" w:space="0" w:color="auto"/>
                    <w:left w:val="none" w:sz="0" w:space="0" w:color="auto"/>
                    <w:bottom w:val="none" w:sz="0" w:space="0" w:color="auto"/>
                    <w:right w:val="none" w:sz="0" w:space="0" w:color="auto"/>
                  </w:divBdr>
                </w:div>
                <w:div w:id="1555123416">
                  <w:marLeft w:val="150"/>
                  <w:marRight w:val="0"/>
                  <w:marTop w:val="150"/>
                  <w:marBottom w:val="0"/>
                  <w:divBdr>
                    <w:top w:val="none" w:sz="0" w:space="0" w:color="auto"/>
                    <w:left w:val="none" w:sz="0" w:space="0" w:color="auto"/>
                    <w:bottom w:val="none" w:sz="0" w:space="0" w:color="auto"/>
                    <w:right w:val="none" w:sz="0" w:space="0" w:color="auto"/>
                  </w:divBdr>
                  <w:divsChild>
                    <w:div w:id="6300296">
                      <w:marLeft w:val="0"/>
                      <w:marRight w:val="0"/>
                      <w:marTop w:val="0"/>
                      <w:marBottom w:val="0"/>
                      <w:divBdr>
                        <w:top w:val="none" w:sz="0" w:space="0" w:color="auto"/>
                        <w:left w:val="none" w:sz="0" w:space="0" w:color="auto"/>
                        <w:bottom w:val="none" w:sz="0" w:space="0" w:color="auto"/>
                        <w:right w:val="none" w:sz="0" w:space="0" w:color="auto"/>
                      </w:divBdr>
                    </w:div>
                  </w:divsChild>
                </w:div>
                <w:div w:id="2799222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34631308">
      <w:marLeft w:val="0"/>
      <w:marRight w:val="0"/>
      <w:marTop w:val="0"/>
      <w:marBottom w:val="0"/>
      <w:divBdr>
        <w:top w:val="none" w:sz="0" w:space="0" w:color="auto"/>
        <w:left w:val="none" w:sz="0" w:space="0" w:color="auto"/>
        <w:bottom w:val="none" w:sz="0" w:space="0" w:color="auto"/>
        <w:right w:val="none" w:sz="0" w:space="0" w:color="auto"/>
      </w:divBdr>
      <w:divsChild>
        <w:div w:id="1283462772">
          <w:marLeft w:val="0"/>
          <w:marRight w:val="0"/>
          <w:marTop w:val="0"/>
          <w:marBottom w:val="0"/>
          <w:divBdr>
            <w:top w:val="none" w:sz="0" w:space="0" w:color="auto"/>
            <w:left w:val="none" w:sz="0" w:space="0" w:color="auto"/>
            <w:bottom w:val="none" w:sz="0" w:space="0" w:color="auto"/>
            <w:right w:val="none" w:sz="0" w:space="0" w:color="auto"/>
          </w:divBdr>
          <w:divsChild>
            <w:div w:id="2118479705">
              <w:marLeft w:val="0"/>
              <w:marRight w:val="0"/>
              <w:marTop w:val="0"/>
              <w:marBottom w:val="0"/>
              <w:divBdr>
                <w:top w:val="none" w:sz="0" w:space="0" w:color="auto"/>
                <w:left w:val="none" w:sz="0" w:space="0" w:color="auto"/>
                <w:bottom w:val="none" w:sz="0" w:space="0" w:color="auto"/>
                <w:right w:val="none" w:sz="0" w:space="0" w:color="auto"/>
              </w:divBdr>
              <w:divsChild>
                <w:div w:id="813258030">
                  <w:marLeft w:val="0"/>
                  <w:marRight w:val="0"/>
                  <w:marTop w:val="150"/>
                  <w:marBottom w:val="0"/>
                  <w:divBdr>
                    <w:top w:val="none" w:sz="0" w:space="0" w:color="auto"/>
                    <w:left w:val="none" w:sz="0" w:space="0" w:color="auto"/>
                    <w:bottom w:val="none" w:sz="0" w:space="0" w:color="auto"/>
                    <w:right w:val="none" w:sz="0" w:space="0" w:color="auto"/>
                  </w:divBdr>
                </w:div>
                <w:div w:id="1353065897">
                  <w:marLeft w:val="150"/>
                  <w:marRight w:val="0"/>
                  <w:marTop w:val="150"/>
                  <w:marBottom w:val="0"/>
                  <w:divBdr>
                    <w:top w:val="none" w:sz="0" w:space="0" w:color="auto"/>
                    <w:left w:val="none" w:sz="0" w:space="0" w:color="auto"/>
                    <w:bottom w:val="none" w:sz="0" w:space="0" w:color="auto"/>
                    <w:right w:val="none" w:sz="0" w:space="0" w:color="auto"/>
                  </w:divBdr>
                  <w:divsChild>
                    <w:div w:id="1946838719">
                      <w:marLeft w:val="0"/>
                      <w:marRight w:val="0"/>
                      <w:marTop w:val="0"/>
                      <w:marBottom w:val="0"/>
                      <w:divBdr>
                        <w:top w:val="none" w:sz="0" w:space="0" w:color="auto"/>
                        <w:left w:val="none" w:sz="0" w:space="0" w:color="auto"/>
                        <w:bottom w:val="none" w:sz="0" w:space="0" w:color="auto"/>
                        <w:right w:val="none" w:sz="0" w:space="0" w:color="auto"/>
                      </w:divBdr>
                    </w:div>
                  </w:divsChild>
                </w:div>
                <w:div w:id="1689596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2</cp:revision>
  <dcterms:created xsi:type="dcterms:W3CDTF">2025-07-09T01:06:00Z</dcterms:created>
  <dcterms:modified xsi:type="dcterms:W3CDTF">2025-07-09T01:06:00Z</dcterms:modified>
</cp:coreProperties>
</file>