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E3A22" w:rsidP="00632246">
      <w:pPr>
        <w:spacing w:line="630" w:lineRule="atLeast"/>
        <w:jc w:val="center"/>
        <w:divId w:val="1280335857"/>
        <w:rPr>
          <w:b/>
          <w:bCs/>
          <w:sz w:val="32"/>
          <w:szCs w:val="32"/>
        </w:rPr>
      </w:pPr>
      <w:r>
        <w:rPr>
          <w:rFonts w:hint="eastAsia"/>
          <w:b/>
          <w:bCs/>
          <w:sz w:val="32"/>
          <w:szCs w:val="32"/>
        </w:rPr>
        <w:t>建信理财惠众（稳利）日申月赎固收类产品（上旬）第</w:t>
      </w:r>
      <w:r>
        <w:rPr>
          <w:rFonts w:hint="eastAsia"/>
          <w:b/>
          <w:bCs/>
          <w:sz w:val="32"/>
          <w:szCs w:val="32"/>
        </w:rPr>
        <w:t>1</w:t>
      </w:r>
      <w:r>
        <w:rPr>
          <w:rFonts w:hint="eastAsia"/>
          <w:b/>
          <w:bCs/>
          <w:sz w:val="32"/>
          <w:szCs w:val="32"/>
        </w:rPr>
        <w:t>期</w:t>
      </w:r>
      <w:r>
        <w:rPr>
          <w:rFonts w:hint="eastAsia"/>
          <w:b/>
          <w:bCs/>
          <w:sz w:val="32"/>
          <w:szCs w:val="32"/>
        </w:rPr>
        <w:t>2024</w:t>
      </w:r>
      <w:r>
        <w:rPr>
          <w:rFonts w:hint="eastAsia"/>
          <w:b/>
          <w:bCs/>
          <w:sz w:val="32"/>
          <w:szCs w:val="32"/>
        </w:rPr>
        <w:t>年四季度</w:t>
      </w:r>
      <w:bookmarkStart w:id="0" w:name="_GoBack"/>
      <w:r w:rsidR="00632246" w:rsidRPr="001A2FC4">
        <w:rPr>
          <w:rFonts w:hint="eastAsia"/>
          <w:b/>
          <w:bCs/>
          <w:sz w:val="32"/>
          <w:szCs w:val="32"/>
        </w:rPr>
        <w:t>关联交易信息披露公告</w:t>
      </w:r>
      <w:bookmarkEnd w:id="0"/>
    </w:p>
    <w:p w:rsidR="00000000" w:rsidRDefault="005E3A22">
      <w:pPr>
        <w:jc w:val="center"/>
        <w:divId w:val="1180699644"/>
        <w:rPr>
          <w:rFonts w:hint="eastAsia"/>
          <w:sz w:val="21"/>
          <w:szCs w:val="21"/>
        </w:rPr>
      </w:pPr>
      <w:r>
        <w:rPr>
          <w:rFonts w:hint="eastAsia"/>
          <w:sz w:val="21"/>
          <w:szCs w:val="21"/>
        </w:rPr>
        <w:t>报告日：</w:t>
      </w:r>
      <w:r>
        <w:rPr>
          <w:rFonts w:hint="eastAsia"/>
          <w:sz w:val="21"/>
          <w:szCs w:val="21"/>
        </w:rPr>
        <w:t>2024</w:t>
      </w:r>
      <w:r>
        <w:rPr>
          <w:rFonts w:hint="eastAsia"/>
          <w:sz w:val="21"/>
          <w:szCs w:val="21"/>
        </w:rPr>
        <w:t>年</w:t>
      </w:r>
      <w:r>
        <w:rPr>
          <w:rFonts w:hint="eastAsia"/>
          <w:sz w:val="21"/>
          <w:szCs w:val="21"/>
        </w:rPr>
        <w:t>12</w:t>
      </w:r>
      <w:r>
        <w:rPr>
          <w:rFonts w:hint="eastAsia"/>
          <w:sz w:val="21"/>
          <w:szCs w:val="21"/>
        </w:rPr>
        <w:t>月</w:t>
      </w:r>
      <w:r>
        <w:rPr>
          <w:rFonts w:hint="eastAsia"/>
          <w:sz w:val="21"/>
          <w:szCs w:val="21"/>
        </w:rPr>
        <w:t>31</w:t>
      </w:r>
      <w:r>
        <w:rPr>
          <w:rFonts w:hint="eastAsia"/>
          <w:sz w:val="21"/>
          <w:szCs w:val="21"/>
        </w:rPr>
        <w:t>日</w:t>
      </w:r>
    </w:p>
    <w:p w:rsidR="00000000" w:rsidRDefault="005E3A22" w:rsidP="00632246">
      <w:pPr>
        <w:spacing w:line="555" w:lineRule="atLeast"/>
        <w:divId w:val="1168397715"/>
        <w:rPr>
          <w:rFonts w:hint="eastAsia"/>
          <w:sz w:val="28"/>
          <w:szCs w:val="28"/>
        </w:rPr>
      </w:pPr>
      <w:r>
        <w:rPr>
          <w:rFonts w:hint="eastAsia"/>
          <w:sz w:val="28"/>
          <w:szCs w:val="28"/>
        </w:rPr>
        <w:t>  </w:t>
      </w:r>
      <w:r w:rsidR="00632246">
        <w:rPr>
          <w:rFonts w:hint="eastAsia"/>
          <w:sz w:val="28"/>
          <w:szCs w:val="28"/>
        </w:rPr>
        <w:t>截至报告日，</w:t>
      </w:r>
      <w:r>
        <w:rPr>
          <w:rFonts w:hint="eastAsia"/>
          <w:sz w:val="28"/>
          <w:szCs w:val="28"/>
        </w:rPr>
        <w:t>建信理财惠众（稳利）日申月赎固收类产品（上旬）第</w:t>
      </w:r>
      <w:r>
        <w:rPr>
          <w:rFonts w:hint="eastAsia"/>
          <w:sz w:val="28"/>
          <w:szCs w:val="28"/>
        </w:rPr>
        <w:t>1</w:t>
      </w:r>
      <w:r>
        <w:rPr>
          <w:rFonts w:hint="eastAsia"/>
          <w:sz w:val="28"/>
          <w:szCs w:val="28"/>
        </w:rPr>
        <w:t>期</w:t>
      </w:r>
      <w:r w:rsidR="00632246">
        <w:rPr>
          <w:rFonts w:hint="eastAsia"/>
          <w:sz w:val="28"/>
          <w:szCs w:val="28"/>
        </w:rPr>
        <w:t>关联交易信息如下：</w:t>
      </w:r>
    </w:p>
    <w:p w:rsidR="00000000" w:rsidRDefault="005E3A22">
      <w:pPr>
        <w:spacing w:line="555" w:lineRule="atLeast"/>
        <w:divId w:val="1328939684"/>
        <w:rPr>
          <w:rFonts w:hint="eastAsia"/>
          <w:sz w:val="28"/>
          <w:szCs w:val="28"/>
        </w:rPr>
      </w:pPr>
      <w:r>
        <w:rPr>
          <w:rFonts w:hint="eastAsia"/>
          <w:sz w:val="28"/>
          <w:szCs w:val="28"/>
        </w:rPr>
        <w:t>  </w:t>
      </w:r>
      <w:r w:rsidR="00632246">
        <w:rPr>
          <w:rFonts w:hint="eastAsia"/>
          <w:sz w:val="28"/>
          <w:szCs w:val="28"/>
        </w:rPr>
        <w:t>一、</w:t>
      </w:r>
      <w:r>
        <w:rPr>
          <w:rFonts w:hint="eastAsia"/>
          <w:sz w:val="28"/>
          <w:szCs w:val="28"/>
        </w:rPr>
        <w:t>理财产品投资与本公司或托管机构有重大利害关系的机构发行或承销的证券</w:t>
      </w:r>
    </w:p>
    <w:tbl>
      <w:tblPr>
        <w:tblW w:w="5000" w:type="pct"/>
        <w:tblCellMar>
          <w:top w:w="15" w:type="dxa"/>
          <w:left w:w="15" w:type="dxa"/>
          <w:bottom w:w="15" w:type="dxa"/>
          <w:right w:w="15" w:type="dxa"/>
        </w:tblCellMar>
        <w:tblLook w:val="04A0" w:firstRow="1" w:lastRow="0" w:firstColumn="1" w:lastColumn="0" w:noHBand="0" w:noVBand="1"/>
      </w:tblPr>
      <w:tblGrid>
        <w:gridCol w:w="515"/>
        <w:gridCol w:w="1047"/>
        <w:gridCol w:w="1022"/>
        <w:gridCol w:w="1290"/>
        <w:gridCol w:w="1177"/>
        <w:gridCol w:w="899"/>
        <w:gridCol w:w="1170"/>
        <w:gridCol w:w="1170"/>
      </w:tblGrid>
      <w:tr w:rsidR="00000000" w:rsidTr="00632246">
        <w:trPr>
          <w:divId w:val="2002155921"/>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序号</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证券简称</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证券类别</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证券代码</w:t>
            </w:r>
          </w:p>
        </w:tc>
        <w:tc>
          <w:tcPr>
            <w:tcW w:w="11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交易数量</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交易净价</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关联方名称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关联方角色</w:t>
            </w:r>
          </w:p>
        </w:tc>
      </w:tr>
      <w:tr w:rsidR="00000000" w:rsidTr="00632246">
        <w:trPr>
          <w:divId w:val="2002155921"/>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1</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22</w:t>
            </w:r>
            <w:r>
              <w:rPr>
                <w:rFonts w:hint="eastAsia"/>
                <w:color w:val="666666"/>
                <w:sz w:val="21"/>
                <w:szCs w:val="21"/>
              </w:rPr>
              <w:t>广投金控</w:t>
            </w:r>
            <w:r>
              <w:rPr>
                <w:rFonts w:hint="eastAsia"/>
                <w:color w:val="666666"/>
                <w:sz w:val="21"/>
                <w:szCs w:val="21"/>
              </w:rPr>
              <w:t>MTN001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102280777.IB</w:t>
            </w:r>
          </w:p>
        </w:tc>
        <w:tc>
          <w:tcPr>
            <w:tcW w:w="11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2,830</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632246">
        <w:trPr>
          <w:divId w:val="2002155921"/>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2</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22</w:t>
            </w:r>
            <w:r>
              <w:rPr>
                <w:rFonts w:hint="eastAsia"/>
                <w:color w:val="666666"/>
                <w:sz w:val="21"/>
                <w:szCs w:val="21"/>
              </w:rPr>
              <w:t>渝兴永</w:t>
            </w:r>
            <w:r>
              <w:rPr>
                <w:rFonts w:hint="eastAsia"/>
                <w:color w:val="666666"/>
                <w:sz w:val="21"/>
                <w:szCs w:val="21"/>
              </w:rPr>
              <w:t>MTN002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102200124.IB</w:t>
            </w:r>
          </w:p>
        </w:tc>
        <w:tc>
          <w:tcPr>
            <w:tcW w:w="11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283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632246">
        <w:trPr>
          <w:divId w:val="2002155921"/>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3</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22</w:t>
            </w:r>
            <w:r>
              <w:rPr>
                <w:rFonts w:hint="eastAsia"/>
                <w:color w:val="666666"/>
                <w:sz w:val="21"/>
                <w:szCs w:val="21"/>
              </w:rPr>
              <w:t>广投金控</w:t>
            </w:r>
            <w:r>
              <w:rPr>
                <w:rFonts w:hint="eastAsia"/>
                <w:color w:val="666666"/>
                <w:sz w:val="21"/>
                <w:szCs w:val="21"/>
              </w:rPr>
              <w:t>MTN001(</w:t>
            </w:r>
            <w:r>
              <w:rPr>
                <w:rFonts w:hint="eastAsia"/>
                <w:color w:val="666666"/>
                <w:sz w:val="21"/>
                <w:szCs w:val="21"/>
              </w:rPr>
              <w:t>绿色</w:t>
            </w:r>
            <w:r>
              <w:rPr>
                <w:rFonts w:hint="eastAsia"/>
                <w:color w:val="666666"/>
                <w:sz w:val="21"/>
                <w:szCs w:val="21"/>
              </w:rPr>
              <w:t>)</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102282002.IB</w:t>
            </w:r>
          </w:p>
        </w:tc>
        <w:tc>
          <w:tcPr>
            <w:tcW w:w="11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2,830</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632246">
        <w:trPr>
          <w:divId w:val="2002155921"/>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4</w:t>
            </w:r>
          </w:p>
        </w:tc>
        <w:tc>
          <w:tcPr>
            <w:tcW w:w="104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22</w:t>
            </w:r>
            <w:r>
              <w:rPr>
                <w:rFonts w:hint="eastAsia"/>
                <w:color w:val="666666"/>
                <w:sz w:val="21"/>
                <w:szCs w:val="21"/>
              </w:rPr>
              <w:t>库尔勒</w:t>
            </w:r>
            <w:r>
              <w:rPr>
                <w:rFonts w:hint="eastAsia"/>
                <w:color w:val="666666"/>
                <w:sz w:val="21"/>
                <w:szCs w:val="21"/>
              </w:rPr>
              <w:t>PPN001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032280235.IB</w:t>
            </w:r>
          </w:p>
        </w:tc>
        <w:tc>
          <w:tcPr>
            <w:tcW w:w="117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566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5E3A22">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bl>
    <w:p w:rsidR="00632246" w:rsidRDefault="00632246" w:rsidP="00632246">
      <w:pPr>
        <w:spacing w:line="555" w:lineRule="atLeast"/>
        <w:ind w:firstLineChars="200" w:firstLine="560"/>
        <w:divId w:val="318728699"/>
        <w:rPr>
          <w:sz w:val="28"/>
          <w:szCs w:val="28"/>
        </w:rPr>
      </w:pPr>
      <w:r>
        <w:rPr>
          <w:rStyle w:val="titleeight2"/>
          <w:rFonts w:hint="eastAsia"/>
          <w:sz w:val="28"/>
          <w:szCs w:val="28"/>
        </w:rPr>
        <w:t>二、理财产品投资关联方发行的资产管理产品</w:t>
      </w:r>
    </w:p>
    <w:p w:rsidR="00632246" w:rsidRDefault="00632246" w:rsidP="00632246">
      <w:pPr>
        <w:spacing w:line="555" w:lineRule="atLeast"/>
        <w:ind w:firstLineChars="200" w:firstLine="560"/>
        <w:divId w:val="318728699"/>
        <w:rPr>
          <w:sz w:val="28"/>
          <w:szCs w:val="28"/>
        </w:rPr>
      </w:pPr>
      <w:r>
        <w:rPr>
          <w:rFonts w:hint="eastAsia"/>
          <w:sz w:val="28"/>
          <w:szCs w:val="28"/>
        </w:rPr>
        <w:t>无</w:t>
      </w:r>
    </w:p>
    <w:p w:rsidR="00632246" w:rsidRDefault="00632246" w:rsidP="00632246">
      <w:pPr>
        <w:spacing w:line="555" w:lineRule="atLeast"/>
        <w:ind w:firstLineChars="200" w:firstLine="560"/>
        <w:divId w:val="318728699"/>
        <w:rPr>
          <w:rStyle w:val="titleeight2"/>
          <w:sz w:val="28"/>
          <w:szCs w:val="28"/>
        </w:rPr>
      </w:pPr>
      <w:r>
        <w:rPr>
          <w:rFonts w:hint="eastAsia"/>
          <w:sz w:val="28"/>
          <w:szCs w:val="28"/>
        </w:rPr>
        <w:t>三、</w:t>
      </w:r>
      <w:r>
        <w:rPr>
          <w:rStyle w:val="titleeight2"/>
          <w:rFonts w:hint="eastAsia"/>
          <w:sz w:val="28"/>
          <w:szCs w:val="28"/>
        </w:rPr>
        <w:t>其他关联交易</w:t>
      </w:r>
    </w:p>
    <w:p w:rsidR="00632246" w:rsidRDefault="00632246" w:rsidP="00632246">
      <w:pPr>
        <w:spacing w:line="555" w:lineRule="atLeast"/>
        <w:ind w:firstLineChars="200" w:firstLine="560"/>
        <w:divId w:val="318728699"/>
        <w:rPr>
          <w:sz w:val="28"/>
          <w:szCs w:val="28"/>
        </w:rPr>
      </w:pPr>
      <w:r>
        <w:rPr>
          <w:rStyle w:val="titleeight2"/>
          <w:rFonts w:hint="eastAsia"/>
          <w:sz w:val="28"/>
          <w:szCs w:val="28"/>
        </w:rPr>
        <w:t>无</w:t>
      </w:r>
    </w:p>
    <w:p w:rsidR="00000000" w:rsidRDefault="005E3A22">
      <w:pPr>
        <w:spacing w:line="555" w:lineRule="atLeast"/>
        <w:divId w:val="318728699"/>
        <w:rPr>
          <w:rFonts w:hint="eastAsia"/>
          <w:sz w:val="28"/>
          <w:szCs w:val="28"/>
        </w:rPr>
      </w:pPr>
      <w:r>
        <w:rPr>
          <w:rFonts w:hint="eastAsia"/>
          <w:sz w:val="28"/>
          <w:szCs w:val="28"/>
        </w:rPr>
        <w:t>  </w:t>
      </w:r>
      <w:r>
        <w:rPr>
          <w:rFonts w:hint="eastAsia"/>
          <w:sz w:val="28"/>
          <w:szCs w:val="28"/>
        </w:rPr>
        <w:t>特此公告</w:t>
      </w:r>
    </w:p>
    <w:p w:rsidR="005E3A22" w:rsidRDefault="005E3A22">
      <w:pPr>
        <w:spacing w:line="555" w:lineRule="atLeast"/>
        <w:jc w:val="right"/>
        <w:divId w:val="1744444673"/>
        <w:rPr>
          <w:rFonts w:hint="eastAsia"/>
          <w:sz w:val="28"/>
          <w:szCs w:val="28"/>
        </w:rPr>
      </w:pPr>
      <w:r>
        <w:rPr>
          <w:rFonts w:hint="eastAsia"/>
          <w:sz w:val="28"/>
          <w:szCs w:val="28"/>
        </w:rPr>
        <w:lastRenderedPageBreak/>
        <w:t>建信理财有限责任公司</w:t>
      </w:r>
      <w:r>
        <w:rPr>
          <w:rFonts w:hint="eastAsia"/>
          <w:sz w:val="28"/>
          <w:szCs w:val="28"/>
        </w:rPr>
        <w:br/>
        <w:t>2024</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w:t>
      </w:r>
    </w:p>
    <w:sectPr w:rsidR="005E3A22">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A22" w:rsidRDefault="005E3A22" w:rsidP="00632246">
      <w:r>
        <w:separator/>
      </w:r>
    </w:p>
  </w:endnote>
  <w:endnote w:type="continuationSeparator" w:id="0">
    <w:p w:rsidR="005E3A22" w:rsidRDefault="005E3A22" w:rsidP="0063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A22" w:rsidRDefault="005E3A22" w:rsidP="00632246">
      <w:r>
        <w:separator/>
      </w:r>
    </w:p>
  </w:footnote>
  <w:footnote w:type="continuationSeparator" w:id="0">
    <w:p w:rsidR="005E3A22" w:rsidRDefault="005E3A22" w:rsidP="0063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632246"/>
    <w:rsid w:val="005E3A22"/>
    <w:rsid w:val="0063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01F99"/>
  <w15:chartTrackingRefBased/>
  <w15:docId w15:val="{2A595A41-011F-47AA-A0C1-18C28496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6322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2246"/>
    <w:rPr>
      <w:rFonts w:ascii="宋体" w:eastAsia="宋体" w:hAnsi="宋体" w:cs="宋体"/>
      <w:sz w:val="18"/>
      <w:szCs w:val="18"/>
    </w:rPr>
  </w:style>
  <w:style w:type="paragraph" w:styleId="a5">
    <w:name w:val="footer"/>
    <w:basedOn w:val="a"/>
    <w:link w:val="a6"/>
    <w:uiPriority w:val="99"/>
    <w:unhideWhenUsed/>
    <w:rsid w:val="00632246"/>
    <w:pPr>
      <w:tabs>
        <w:tab w:val="center" w:pos="4153"/>
        <w:tab w:val="right" w:pos="8306"/>
      </w:tabs>
      <w:snapToGrid w:val="0"/>
    </w:pPr>
    <w:rPr>
      <w:sz w:val="18"/>
      <w:szCs w:val="18"/>
    </w:rPr>
  </w:style>
  <w:style w:type="character" w:customStyle="1" w:styleId="a6">
    <w:name w:val="页脚 字符"/>
    <w:basedOn w:val="a0"/>
    <w:link w:val="a5"/>
    <w:uiPriority w:val="99"/>
    <w:rsid w:val="00632246"/>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428">
      <w:marLeft w:val="0"/>
      <w:marRight w:val="0"/>
      <w:marTop w:val="0"/>
      <w:marBottom w:val="0"/>
      <w:divBdr>
        <w:top w:val="none" w:sz="0" w:space="0" w:color="auto"/>
        <w:left w:val="none" w:sz="0" w:space="0" w:color="auto"/>
        <w:bottom w:val="none" w:sz="0" w:space="0" w:color="auto"/>
        <w:right w:val="none" w:sz="0" w:space="0" w:color="auto"/>
      </w:divBdr>
      <w:divsChild>
        <w:div w:id="1265771442">
          <w:marLeft w:val="0"/>
          <w:marRight w:val="0"/>
          <w:marTop w:val="0"/>
          <w:marBottom w:val="0"/>
          <w:divBdr>
            <w:top w:val="none" w:sz="0" w:space="0" w:color="auto"/>
            <w:left w:val="none" w:sz="0" w:space="0" w:color="auto"/>
            <w:bottom w:val="none" w:sz="0" w:space="0" w:color="auto"/>
            <w:right w:val="none" w:sz="0" w:space="0" w:color="auto"/>
          </w:divBdr>
          <w:divsChild>
            <w:div w:id="318392293">
              <w:marLeft w:val="0"/>
              <w:marRight w:val="0"/>
              <w:marTop w:val="0"/>
              <w:marBottom w:val="0"/>
              <w:divBdr>
                <w:top w:val="none" w:sz="0" w:space="0" w:color="auto"/>
                <w:left w:val="none" w:sz="0" w:space="0" w:color="auto"/>
                <w:bottom w:val="none" w:sz="0" w:space="0" w:color="auto"/>
                <w:right w:val="none" w:sz="0" w:space="0" w:color="auto"/>
              </w:divBdr>
              <w:divsChild>
                <w:div w:id="1280335857">
                  <w:marLeft w:val="0"/>
                  <w:marRight w:val="0"/>
                  <w:marTop w:val="150"/>
                  <w:marBottom w:val="0"/>
                  <w:divBdr>
                    <w:top w:val="none" w:sz="0" w:space="0" w:color="auto"/>
                    <w:left w:val="none" w:sz="0" w:space="0" w:color="auto"/>
                    <w:bottom w:val="none" w:sz="0" w:space="0" w:color="auto"/>
                    <w:right w:val="none" w:sz="0" w:space="0" w:color="auto"/>
                  </w:divBdr>
                </w:div>
                <w:div w:id="1180699644">
                  <w:marLeft w:val="0"/>
                  <w:marRight w:val="0"/>
                  <w:marTop w:val="150"/>
                  <w:marBottom w:val="0"/>
                  <w:divBdr>
                    <w:top w:val="none" w:sz="0" w:space="0" w:color="auto"/>
                    <w:left w:val="none" w:sz="0" w:space="0" w:color="auto"/>
                    <w:bottom w:val="none" w:sz="0" w:space="0" w:color="auto"/>
                    <w:right w:val="none" w:sz="0" w:space="0" w:color="auto"/>
                  </w:divBdr>
                </w:div>
                <w:div w:id="11683977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8638260">
      <w:marLeft w:val="0"/>
      <w:marRight w:val="0"/>
      <w:marTop w:val="0"/>
      <w:marBottom w:val="0"/>
      <w:divBdr>
        <w:top w:val="none" w:sz="0" w:space="0" w:color="auto"/>
        <w:left w:val="none" w:sz="0" w:space="0" w:color="auto"/>
        <w:bottom w:val="none" w:sz="0" w:space="0" w:color="auto"/>
        <w:right w:val="none" w:sz="0" w:space="0" w:color="auto"/>
      </w:divBdr>
      <w:divsChild>
        <w:div w:id="907302581">
          <w:marLeft w:val="0"/>
          <w:marRight w:val="0"/>
          <w:marTop w:val="0"/>
          <w:marBottom w:val="0"/>
          <w:divBdr>
            <w:top w:val="none" w:sz="0" w:space="0" w:color="auto"/>
            <w:left w:val="none" w:sz="0" w:space="0" w:color="auto"/>
            <w:bottom w:val="none" w:sz="0" w:space="0" w:color="auto"/>
            <w:right w:val="none" w:sz="0" w:space="0" w:color="auto"/>
          </w:divBdr>
          <w:divsChild>
            <w:div w:id="428742279">
              <w:marLeft w:val="0"/>
              <w:marRight w:val="0"/>
              <w:marTop w:val="0"/>
              <w:marBottom w:val="0"/>
              <w:divBdr>
                <w:top w:val="none" w:sz="0" w:space="0" w:color="auto"/>
                <w:left w:val="none" w:sz="0" w:space="0" w:color="auto"/>
                <w:bottom w:val="none" w:sz="0" w:space="0" w:color="auto"/>
                <w:right w:val="none" w:sz="0" w:space="0" w:color="auto"/>
              </w:divBdr>
              <w:divsChild>
                <w:div w:id="10136079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65605934">
      <w:marLeft w:val="0"/>
      <w:marRight w:val="0"/>
      <w:marTop w:val="0"/>
      <w:marBottom w:val="0"/>
      <w:divBdr>
        <w:top w:val="none" w:sz="0" w:space="0" w:color="auto"/>
        <w:left w:val="none" w:sz="0" w:space="0" w:color="auto"/>
        <w:bottom w:val="none" w:sz="0" w:space="0" w:color="auto"/>
        <w:right w:val="none" w:sz="0" w:space="0" w:color="auto"/>
      </w:divBdr>
      <w:divsChild>
        <w:div w:id="967933051">
          <w:marLeft w:val="0"/>
          <w:marRight w:val="0"/>
          <w:marTop w:val="0"/>
          <w:marBottom w:val="0"/>
          <w:divBdr>
            <w:top w:val="none" w:sz="0" w:space="0" w:color="auto"/>
            <w:left w:val="none" w:sz="0" w:space="0" w:color="auto"/>
            <w:bottom w:val="none" w:sz="0" w:space="0" w:color="auto"/>
            <w:right w:val="none" w:sz="0" w:space="0" w:color="auto"/>
          </w:divBdr>
          <w:divsChild>
            <w:div w:id="1365442828">
              <w:marLeft w:val="0"/>
              <w:marRight w:val="0"/>
              <w:marTop w:val="0"/>
              <w:marBottom w:val="0"/>
              <w:divBdr>
                <w:top w:val="none" w:sz="0" w:space="0" w:color="auto"/>
                <w:left w:val="none" w:sz="0" w:space="0" w:color="auto"/>
                <w:bottom w:val="none" w:sz="0" w:space="0" w:color="auto"/>
                <w:right w:val="none" w:sz="0" w:space="0" w:color="auto"/>
              </w:divBdr>
              <w:divsChild>
                <w:div w:id="1328939684">
                  <w:marLeft w:val="0"/>
                  <w:marRight w:val="0"/>
                  <w:marTop w:val="150"/>
                  <w:marBottom w:val="0"/>
                  <w:divBdr>
                    <w:top w:val="none" w:sz="0" w:space="0" w:color="auto"/>
                    <w:left w:val="none" w:sz="0" w:space="0" w:color="auto"/>
                    <w:bottom w:val="none" w:sz="0" w:space="0" w:color="auto"/>
                    <w:right w:val="none" w:sz="0" w:space="0" w:color="auto"/>
                  </w:divBdr>
                </w:div>
                <w:div w:id="1857307324">
                  <w:marLeft w:val="150"/>
                  <w:marRight w:val="0"/>
                  <w:marTop w:val="150"/>
                  <w:marBottom w:val="0"/>
                  <w:divBdr>
                    <w:top w:val="none" w:sz="0" w:space="0" w:color="auto"/>
                    <w:left w:val="none" w:sz="0" w:space="0" w:color="auto"/>
                    <w:bottom w:val="none" w:sz="0" w:space="0" w:color="auto"/>
                    <w:right w:val="none" w:sz="0" w:space="0" w:color="auto"/>
                  </w:divBdr>
                  <w:divsChild>
                    <w:div w:id="20021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07317">
      <w:marLeft w:val="0"/>
      <w:marRight w:val="0"/>
      <w:marTop w:val="0"/>
      <w:marBottom w:val="0"/>
      <w:divBdr>
        <w:top w:val="none" w:sz="0" w:space="0" w:color="auto"/>
        <w:left w:val="none" w:sz="0" w:space="0" w:color="auto"/>
        <w:bottom w:val="none" w:sz="0" w:space="0" w:color="auto"/>
        <w:right w:val="none" w:sz="0" w:space="0" w:color="auto"/>
      </w:divBdr>
      <w:divsChild>
        <w:div w:id="355274024">
          <w:marLeft w:val="0"/>
          <w:marRight w:val="0"/>
          <w:marTop w:val="0"/>
          <w:marBottom w:val="0"/>
          <w:divBdr>
            <w:top w:val="none" w:sz="0" w:space="0" w:color="auto"/>
            <w:left w:val="none" w:sz="0" w:space="0" w:color="auto"/>
            <w:bottom w:val="none" w:sz="0" w:space="0" w:color="auto"/>
            <w:right w:val="none" w:sz="0" w:space="0" w:color="auto"/>
          </w:divBdr>
          <w:divsChild>
            <w:div w:id="436559692">
              <w:marLeft w:val="0"/>
              <w:marRight w:val="0"/>
              <w:marTop w:val="0"/>
              <w:marBottom w:val="0"/>
              <w:divBdr>
                <w:top w:val="none" w:sz="0" w:space="0" w:color="auto"/>
                <w:left w:val="none" w:sz="0" w:space="0" w:color="auto"/>
                <w:bottom w:val="none" w:sz="0" w:space="0" w:color="auto"/>
                <w:right w:val="none" w:sz="0" w:space="0" w:color="auto"/>
              </w:divBdr>
              <w:divsChild>
                <w:div w:id="627590412">
                  <w:marLeft w:val="0"/>
                  <w:marRight w:val="0"/>
                  <w:marTop w:val="150"/>
                  <w:marBottom w:val="0"/>
                  <w:divBdr>
                    <w:top w:val="none" w:sz="0" w:space="0" w:color="auto"/>
                    <w:left w:val="none" w:sz="0" w:space="0" w:color="auto"/>
                    <w:bottom w:val="none" w:sz="0" w:space="0" w:color="auto"/>
                    <w:right w:val="none" w:sz="0" w:space="0" w:color="auto"/>
                  </w:divBdr>
                </w:div>
                <w:div w:id="1216698016">
                  <w:marLeft w:val="150"/>
                  <w:marRight w:val="0"/>
                  <w:marTop w:val="150"/>
                  <w:marBottom w:val="0"/>
                  <w:divBdr>
                    <w:top w:val="none" w:sz="0" w:space="0" w:color="auto"/>
                    <w:left w:val="none" w:sz="0" w:space="0" w:color="auto"/>
                    <w:bottom w:val="none" w:sz="0" w:space="0" w:color="auto"/>
                    <w:right w:val="none" w:sz="0" w:space="0" w:color="auto"/>
                  </w:divBdr>
                  <w:divsChild>
                    <w:div w:id="1300722881">
                      <w:marLeft w:val="0"/>
                      <w:marRight w:val="0"/>
                      <w:marTop w:val="0"/>
                      <w:marBottom w:val="0"/>
                      <w:divBdr>
                        <w:top w:val="none" w:sz="0" w:space="0" w:color="auto"/>
                        <w:left w:val="none" w:sz="0" w:space="0" w:color="auto"/>
                        <w:bottom w:val="none" w:sz="0" w:space="0" w:color="auto"/>
                        <w:right w:val="none" w:sz="0" w:space="0" w:color="auto"/>
                      </w:divBdr>
                    </w:div>
                  </w:divsChild>
                </w:div>
                <w:div w:id="12071387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87973497">
      <w:marLeft w:val="0"/>
      <w:marRight w:val="0"/>
      <w:marTop w:val="0"/>
      <w:marBottom w:val="0"/>
      <w:divBdr>
        <w:top w:val="none" w:sz="0" w:space="0" w:color="auto"/>
        <w:left w:val="none" w:sz="0" w:space="0" w:color="auto"/>
        <w:bottom w:val="none" w:sz="0" w:space="0" w:color="auto"/>
        <w:right w:val="none" w:sz="0" w:space="0" w:color="auto"/>
      </w:divBdr>
      <w:divsChild>
        <w:div w:id="399789927">
          <w:marLeft w:val="0"/>
          <w:marRight w:val="0"/>
          <w:marTop w:val="0"/>
          <w:marBottom w:val="0"/>
          <w:divBdr>
            <w:top w:val="none" w:sz="0" w:space="0" w:color="auto"/>
            <w:left w:val="none" w:sz="0" w:space="0" w:color="auto"/>
            <w:bottom w:val="none" w:sz="0" w:space="0" w:color="auto"/>
            <w:right w:val="none" w:sz="0" w:space="0" w:color="auto"/>
          </w:divBdr>
          <w:divsChild>
            <w:div w:id="1157109375">
              <w:marLeft w:val="0"/>
              <w:marRight w:val="0"/>
              <w:marTop w:val="0"/>
              <w:marBottom w:val="0"/>
              <w:divBdr>
                <w:top w:val="none" w:sz="0" w:space="0" w:color="auto"/>
                <w:left w:val="none" w:sz="0" w:space="0" w:color="auto"/>
                <w:bottom w:val="none" w:sz="0" w:space="0" w:color="auto"/>
                <w:right w:val="none" w:sz="0" w:space="0" w:color="auto"/>
              </w:divBdr>
              <w:divsChild>
                <w:div w:id="681277159">
                  <w:marLeft w:val="0"/>
                  <w:marRight w:val="0"/>
                  <w:marTop w:val="150"/>
                  <w:marBottom w:val="0"/>
                  <w:divBdr>
                    <w:top w:val="none" w:sz="0" w:space="0" w:color="auto"/>
                    <w:left w:val="none" w:sz="0" w:space="0" w:color="auto"/>
                    <w:bottom w:val="none" w:sz="0" w:space="0" w:color="auto"/>
                    <w:right w:val="none" w:sz="0" w:space="0" w:color="auto"/>
                  </w:divBdr>
                </w:div>
                <w:div w:id="773941973">
                  <w:marLeft w:val="0"/>
                  <w:marRight w:val="0"/>
                  <w:marTop w:val="150"/>
                  <w:marBottom w:val="0"/>
                  <w:divBdr>
                    <w:top w:val="none" w:sz="0" w:space="0" w:color="auto"/>
                    <w:left w:val="none" w:sz="0" w:space="0" w:color="auto"/>
                    <w:bottom w:val="none" w:sz="0" w:space="0" w:color="auto"/>
                    <w:right w:val="none" w:sz="0" w:space="0" w:color="auto"/>
                  </w:divBdr>
                </w:div>
                <w:div w:id="1208757205">
                  <w:marLeft w:val="150"/>
                  <w:marRight w:val="0"/>
                  <w:marTop w:val="150"/>
                  <w:marBottom w:val="0"/>
                  <w:divBdr>
                    <w:top w:val="none" w:sz="0" w:space="0" w:color="auto"/>
                    <w:left w:val="none" w:sz="0" w:space="0" w:color="auto"/>
                    <w:bottom w:val="none" w:sz="0" w:space="0" w:color="auto"/>
                    <w:right w:val="none" w:sz="0" w:space="0" w:color="auto"/>
                  </w:divBdr>
                  <w:divsChild>
                    <w:div w:id="1548562917">
                      <w:marLeft w:val="0"/>
                      <w:marRight w:val="0"/>
                      <w:marTop w:val="0"/>
                      <w:marBottom w:val="0"/>
                      <w:divBdr>
                        <w:top w:val="none" w:sz="0" w:space="0" w:color="auto"/>
                        <w:left w:val="none" w:sz="0" w:space="0" w:color="auto"/>
                        <w:bottom w:val="none" w:sz="0" w:space="0" w:color="auto"/>
                        <w:right w:val="none" w:sz="0" w:space="0" w:color="auto"/>
                      </w:divBdr>
                    </w:div>
                  </w:divsChild>
                </w:div>
                <w:div w:id="8286385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29133107">
      <w:marLeft w:val="0"/>
      <w:marRight w:val="0"/>
      <w:marTop w:val="0"/>
      <w:marBottom w:val="0"/>
      <w:divBdr>
        <w:top w:val="none" w:sz="0" w:space="0" w:color="auto"/>
        <w:left w:val="none" w:sz="0" w:space="0" w:color="auto"/>
        <w:bottom w:val="none" w:sz="0" w:space="0" w:color="auto"/>
        <w:right w:val="none" w:sz="0" w:space="0" w:color="auto"/>
      </w:divBdr>
      <w:divsChild>
        <w:div w:id="833572678">
          <w:marLeft w:val="0"/>
          <w:marRight w:val="0"/>
          <w:marTop w:val="0"/>
          <w:marBottom w:val="0"/>
          <w:divBdr>
            <w:top w:val="none" w:sz="0" w:space="0" w:color="auto"/>
            <w:left w:val="none" w:sz="0" w:space="0" w:color="auto"/>
            <w:bottom w:val="none" w:sz="0" w:space="0" w:color="auto"/>
            <w:right w:val="none" w:sz="0" w:space="0" w:color="auto"/>
          </w:divBdr>
          <w:divsChild>
            <w:div w:id="1203438053">
              <w:marLeft w:val="0"/>
              <w:marRight w:val="0"/>
              <w:marTop w:val="0"/>
              <w:marBottom w:val="0"/>
              <w:divBdr>
                <w:top w:val="none" w:sz="0" w:space="0" w:color="auto"/>
                <w:left w:val="none" w:sz="0" w:space="0" w:color="auto"/>
                <w:bottom w:val="none" w:sz="0" w:space="0" w:color="auto"/>
                <w:right w:val="none" w:sz="0" w:space="0" w:color="auto"/>
              </w:divBdr>
              <w:divsChild>
                <w:div w:id="318728699">
                  <w:marLeft w:val="0"/>
                  <w:marRight w:val="0"/>
                  <w:marTop w:val="150"/>
                  <w:marBottom w:val="0"/>
                  <w:divBdr>
                    <w:top w:val="none" w:sz="0" w:space="0" w:color="auto"/>
                    <w:left w:val="none" w:sz="0" w:space="0" w:color="auto"/>
                    <w:bottom w:val="none" w:sz="0" w:space="0" w:color="auto"/>
                    <w:right w:val="none" w:sz="0" w:space="0" w:color="auto"/>
                  </w:divBdr>
                </w:div>
                <w:div w:id="1744444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70487261">
      <w:marLeft w:val="0"/>
      <w:marRight w:val="0"/>
      <w:marTop w:val="0"/>
      <w:marBottom w:val="0"/>
      <w:divBdr>
        <w:top w:val="none" w:sz="0" w:space="0" w:color="auto"/>
        <w:left w:val="none" w:sz="0" w:space="0" w:color="auto"/>
        <w:bottom w:val="none" w:sz="0" w:space="0" w:color="auto"/>
        <w:right w:val="none" w:sz="0" w:space="0" w:color="auto"/>
      </w:divBdr>
      <w:divsChild>
        <w:div w:id="1443528661">
          <w:marLeft w:val="0"/>
          <w:marRight w:val="0"/>
          <w:marTop w:val="0"/>
          <w:marBottom w:val="0"/>
          <w:divBdr>
            <w:top w:val="none" w:sz="0" w:space="0" w:color="auto"/>
            <w:left w:val="none" w:sz="0" w:space="0" w:color="auto"/>
            <w:bottom w:val="none" w:sz="0" w:space="0" w:color="auto"/>
            <w:right w:val="none" w:sz="0" w:space="0" w:color="auto"/>
          </w:divBdr>
          <w:divsChild>
            <w:div w:id="1155756983">
              <w:marLeft w:val="0"/>
              <w:marRight w:val="0"/>
              <w:marTop w:val="0"/>
              <w:marBottom w:val="0"/>
              <w:divBdr>
                <w:top w:val="none" w:sz="0" w:space="0" w:color="auto"/>
                <w:left w:val="none" w:sz="0" w:space="0" w:color="auto"/>
                <w:bottom w:val="none" w:sz="0" w:space="0" w:color="auto"/>
                <w:right w:val="none" w:sz="0" w:space="0" w:color="auto"/>
              </w:divBdr>
              <w:divsChild>
                <w:div w:id="139426931">
                  <w:marLeft w:val="0"/>
                  <w:marRight w:val="0"/>
                  <w:marTop w:val="150"/>
                  <w:marBottom w:val="0"/>
                  <w:divBdr>
                    <w:top w:val="none" w:sz="0" w:space="0" w:color="auto"/>
                    <w:left w:val="none" w:sz="0" w:space="0" w:color="auto"/>
                    <w:bottom w:val="none" w:sz="0" w:space="0" w:color="auto"/>
                    <w:right w:val="none" w:sz="0" w:space="0" w:color="auto"/>
                  </w:divBdr>
                </w:div>
                <w:div w:id="1231426582">
                  <w:marLeft w:val="150"/>
                  <w:marRight w:val="0"/>
                  <w:marTop w:val="150"/>
                  <w:marBottom w:val="0"/>
                  <w:divBdr>
                    <w:top w:val="none" w:sz="0" w:space="0" w:color="auto"/>
                    <w:left w:val="none" w:sz="0" w:space="0" w:color="auto"/>
                    <w:bottom w:val="none" w:sz="0" w:space="0" w:color="auto"/>
                    <w:right w:val="none" w:sz="0" w:space="0" w:color="auto"/>
                  </w:divBdr>
                  <w:divsChild>
                    <w:div w:id="2029913917">
                      <w:marLeft w:val="0"/>
                      <w:marRight w:val="0"/>
                      <w:marTop w:val="0"/>
                      <w:marBottom w:val="0"/>
                      <w:divBdr>
                        <w:top w:val="none" w:sz="0" w:space="0" w:color="auto"/>
                        <w:left w:val="none" w:sz="0" w:space="0" w:color="auto"/>
                        <w:bottom w:val="none" w:sz="0" w:space="0" w:color="auto"/>
                        <w:right w:val="none" w:sz="0" w:space="0" w:color="auto"/>
                      </w:divBdr>
                    </w:div>
                  </w:divsChild>
                </w:div>
                <w:div w:id="198401964">
                  <w:marLeft w:val="0"/>
                  <w:marRight w:val="0"/>
                  <w:marTop w:val="150"/>
                  <w:marBottom w:val="0"/>
                  <w:divBdr>
                    <w:top w:val="none" w:sz="0" w:space="0" w:color="auto"/>
                    <w:left w:val="none" w:sz="0" w:space="0" w:color="auto"/>
                    <w:bottom w:val="none" w:sz="0" w:space="0" w:color="auto"/>
                    <w:right w:val="none" w:sz="0" w:space="0" w:color="auto"/>
                  </w:divBdr>
                </w:div>
                <w:div w:id="18566524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41335058">
      <w:marLeft w:val="0"/>
      <w:marRight w:val="0"/>
      <w:marTop w:val="0"/>
      <w:marBottom w:val="0"/>
      <w:divBdr>
        <w:top w:val="none" w:sz="0" w:space="0" w:color="auto"/>
        <w:left w:val="none" w:sz="0" w:space="0" w:color="auto"/>
        <w:bottom w:val="none" w:sz="0" w:space="0" w:color="auto"/>
        <w:right w:val="none" w:sz="0" w:space="0" w:color="auto"/>
      </w:divBdr>
      <w:divsChild>
        <w:div w:id="907497953">
          <w:marLeft w:val="0"/>
          <w:marRight w:val="0"/>
          <w:marTop w:val="0"/>
          <w:marBottom w:val="0"/>
          <w:divBdr>
            <w:top w:val="none" w:sz="0" w:space="0" w:color="auto"/>
            <w:left w:val="none" w:sz="0" w:space="0" w:color="auto"/>
            <w:bottom w:val="none" w:sz="0" w:space="0" w:color="auto"/>
            <w:right w:val="none" w:sz="0" w:space="0" w:color="auto"/>
          </w:divBdr>
          <w:divsChild>
            <w:div w:id="82379230">
              <w:marLeft w:val="0"/>
              <w:marRight w:val="0"/>
              <w:marTop w:val="0"/>
              <w:marBottom w:val="0"/>
              <w:divBdr>
                <w:top w:val="none" w:sz="0" w:space="0" w:color="auto"/>
                <w:left w:val="none" w:sz="0" w:space="0" w:color="auto"/>
                <w:bottom w:val="none" w:sz="0" w:space="0" w:color="auto"/>
                <w:right w:val="none" w:sz="0" w:space="0" w:color="auto"/>
              </w:divBdr>
              <w:divsChild>
                <w:div w:id="1934392018">
                  <w:marLeft w:val="0"/>
                  <w:marRight w:val="0"/>
                  <w:marTop w:val="150"/>
                  <w:marBottom w:val="0"/>
                  <w:divBdr>
                    <w:top w:val="none" w:sz="0" w:space="0" w:color="auto"/>
                    <w:left w:val="none" w:sz="0" w:space="0" w:color="auto"/>
                    <w:bottom w:val="none" w:sz="0" w:space="0" w:color="auto"/>
                    <w:right w:val="none" w:sz="0" w:space="0" w:color="auto"/>
                  </w:divBdr>
                </w:div>
                <w:div w:id="551886517">
                  <w:marLeft w:val="150"/>
                  <w:marRight w:val="0"/>
                  <w:marTop w:val="150"/>
                  <w:marBottom w:val="0"/>
                  <w:divBdr>
                    <w:top w:val="none" w:sz="0" w:space="0" w:color="auto"/>
                    <w:left w:val="none" w:sz="0" w:space="0" w:color="auto"/>
                    <w:bottom w:val="none" w:sz="0" w:space="0" w:color="auto"/>
                    <w:right w:val="none" w:sz="0" w:space="0" w:color="auto"/>
                  </w:divBdr>
                  <w:divsChild>
                    <w:div w:id="9994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3782">
      <w:marLeft w:val="0"/>
      <w:marRight w:val="0"/>
      <w:marTop w:val="0"/>
      <w:marBottom w:val="0"/>
      <w:divBdr>
        <w:top w:val="none" w:sz="0" w:space="0" w:color="auto"/>
        <w:left w:val="none" w:sz="0" w:space="0" w:color="auto"/>
        <w:bottom w:val="none" w:sz="0" w:space="0" w:color="auto"/>
        <w:right w:val="none" w:sz="0" w:space="0" w:color="auto"/>
      </w:divBdr>
      <w:divsChild>
        <w:div w:id="742410657">
          <w:marLeft w:val="0"/>
          <w:marRight w:val="0"/>
          <w:marTop w:val="0"/>
          <w:marBottom w:val="0"/>
          <w:divBdr>
            <w:top w:val="none" w:sz="0" w:space="0" w:color="auto"/>
            <w:left w:val="none" w:sz="0" w:space="0" w:color="auto"/>
            <w:bottom w:val="none" w:sz="0" w:space="0" w:color="auto"/>
            <w:right w:val="none" w:sz="0" w:space="0" w:color="auto"/>
          </w:divBdr>
          <w:divsChild>
            <w:div w:id="1179660689">
              <w:marLeft w:val="0"/>
              <w:marRight w:val="0"/>
              <w:marTop w:val="0"/>
              <w:marBottom w:val="0"/>
              <w:divBdr>
                <w:top w:val="none" w:sz="0" w:space="0" w:color="auto"/>
                <w:left w:val="none" w:sz="0" w:space="0" w:color="auto"/>
                <w:bottom w:val="none" w:sz="0" w:space="0" w:color="auto"/>
                <w:right w:val="none" w:sz="0" w:space="0" w:color="auto"/>
              </w:divBdr>
              <w:divsChild>
                <w:div w:id="28263948">
                  <w:marLeft w:val="0"/>
                  <w:marRight w:val="0"/>
                  <w:marTop w:val="150"/>
                  <w:marBottom w:val="0"/>
                  <w:divBdr>
                    <w:top w:val="none" w:sz="0" w:space="0" w:color="auto"/>
                    <w:left w:val="none" w:sz="0" w:space="0" w:color="auto"/>
                    <w:bottom w:val="none" w:sz="0" w:space="0" w:color="auto"/>
                    <w:right w:val="none" w:sz="0" w:space="0" w:color="auto"/>
                  </w:divBdr>
                </w:div>
                <w:div w:id="1066420097">
                  <w:marLeft w:val="150"/>
                  <w:marRight w:val="0"/>
                  <w:marTop w:val="150"/>
                  <w:marBottom w:val="0"/>
                  <w:divBdr>
                    <w:top w:val="none" w:sz="0" w:space="0" w:color="auto"/>
                    <w:left w:val="none" w:sz="0" w:space="0" w:color="auto"/>
                    <w:bottom w:val="none" w:sz="0" w:space="0" w:color="auto"/>
                    <w:right w:val="none" w:sz="0" w:space="0" w:color="auto"/>
                  </w:divBdr>
                  <w:divsChild>
                    <w:div w:id="1123841911">
                      <w:marLeft w:val="0"/>
                      <w:marRight w:val="0"/>
                      <w:marTop w:val="0"/>
                      <w:marBottom w:val="0"/>
                      <w:divBdr>
                        <w:top w:val="none" w:sz="0" w:space="0" w:color="auto"/>
                        <w:left w:val="none" w:sz="0" w:space="0" w:color="auto"/>
                        <w:bottom w:val="none" w:sz="0" w:space="0" w:color="auto"/>
                        <w:right w:val="none" w:sz="0" w:space="0" w:color="auto"/>
                      </w:divBdr>
                    </w:div>
                  </w:divsChild>
                </w:div>
                <w:div w:id="9754543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92225363">
      <w:marLeft w:val="0"/>
      <w:marRight w:val="0"/>
      <w:marTop w:val="0"/>
      <w:marBottom w:val="0"/>
      <w:divBdr>
        <w:top w:val="none" w:sz="0" w:space="0" w:color="auto"/>
        <w:left w:val="none" w:sz="0" w:space="0" w:color="auto"/>
        <w:bottom w:val="none" w:sz="0" w:space="0" w:color="auto"/>
        <w:right w:val="none" w:sz="0" w:space="0" w:color="auto"/>
      </w:divBdr>
      <w:divsChild>
        <w:div w:id="825897510">
          <w:marLeft w:val="0"/>
          <w:marRight w:val="0"/>
          <w:marTop w:val="0"/>
          <w:marBottom w:val="0"/>
          <w:divBdr>
            <w:top w:val="none" w:sz="0" w:space="0" w:color="auto"/>
            <w:left w:val="none" w:sz="0" w:space="0" w:color="auto"/>
            <w:bottom w:val="none" w:sz="0" w:space="0" w:color="auto"/>
            <w:right w:val="none" w:sz="0" w:space="0" w:color="auto"/>
          </w:divBdr>
          <w:divsChild>
            <w:div w:id="114326157">
              <w:marLeft w:val="0"/>
              <w:marRight w:val="0"/>
              <w:marTop w:val="0"/>
              <w:marBottom w:val="0"/>
              <w:divBdr>
                <w:top w:val="none" w:sz="0" w:space="0" w:color="auto"/>
                <w:left w:val="none" w:sz="0" w:space="0" w:color="auto"/>
                <w:bottom w:val="none" w:sz="0" w:space="0" w:color="auto"/>
                <w:right w:val="none" w:sz="0" w:space="0" w:color="auto"/>
              </w:divBdr>
              <w:divsChild>
                <w:div w:id="2091660205">
                  <w:marLeft w:val="0"/>
                  <w:marRight w:val="0"/>
                  <w:marTop w:val="150"/>
                  <w:marBottom w:val="0"/>
                  <w:divBdr>
                    <w:top w:val="none" w:sz="0" w:space="0" w:color="auto"/>
                    <w:left w:val="none" w:sz="0" w:space="0" w:color="auto"/>
                    <w:bottom w:val="none" w:sz="0" w:space="0" w:color="auto"/>
                    <w:right w:val="none" w:sz="0" w:space="0" w:color="auto"/>
                  </w:divBdr>
                </w:div>
                <w:div w:id="131024510">
                  <w:marLeft w:val="0"/>
                  <w:marRight w:val="0"/>
                  <w:marTop w:val="150"/>
                  <w:marBottom w:val="0"/>
                  <w:divBdr>
                    <w:top w:val="none" w:sz="0" w:space="0" w:color="auto"/>
                    <w:left w:val="none" w:sz="0" w:space="0" w:color="auto"/>
                    <w:bottom w:val="none" w:sz="0" w:space="0" w:color="auto"/>
                    <w:right w:val="none" w:sz="0" w:space="0" w:color="auto"/>
                  </w:divBdr>
                </w:div>
                <w:div w:id="19972267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20177184">
      <w:marLeft w:val="0"/>
      <w:marRight w:val="0"/>
      <w:marTop w:val="0"/>
      <w:marBottom w:val="0"/>
      <w:divBdr>
        <w:top w:val="none" w:sz="0" w:space="0" w:color="auto"/>
        <w:left w:val="none" w:sz="0" w:space="0" w:color="auto"/>
        <w:bottom w:val="none" w:sz="0" w:space="0" w:color="auto"/>
        <w:right w:val="none" w:sz="0" w:space="0" w:color="auto"/>
      </w:divBdr>
      <w:divsChild>
        <w:div w:id="1952349856">
          <w:marLeft w:val="0"/>
          <w:marRight w:val="0"/>
          <w:marTop w:val="0"/>
          <w:marBottom w:val="0"/>
          <w:divBdr>
            <w:top w:val="none" w:sz="0" w:space="0" w:color="auto"/>
            <w:left w:val="none" w:sz="0" w:space="0" w:color="auto"/>
            <w:bottom w:val="none" w:sz="0" w:space="0" w:color="auto"/>
            <w:right w:val="none" w:sz="0" w:space="0" w:color="auto"/>
          </w:divBdr>
          <w:divsChild>
            <w:div w:id="749887214">
              <w:marLeft w:val="0"/>
              <w:marRight w:val="0"/>
              <w:marTop w:val="0"/>
              <w:marBottom w:val="0"/>
              <w:divBdr>
                <w:top w:val="none" w:sz="0" w:space="0" w:color="auto"/>
                <w:left w:val="none" w:sz="0" w:space="0" w:color="auto"/>
                <w:bottom w:val="none" w:sz="0" w:space="0" w:color="auto"/>
                <w:right w:val="none" w:sz="0" w:space="0" w:color="auto"/>
              </w:divBdr>
              <w:divsChild>
                <w:div w:id="239558575">
                  <w:marLeft w:val="0"/>
                  <w:marRight w:val="0"/>
                  <w:marTop w:val="150"/>
                  <w:marBottom w:val="0"/>
                  <w:divBdr>
                    <w:top w:val="none" w:sz="0" w:space="0" w:color="auto"/>
                    <w:left w:val="none" w:sz="0" w:space="0" w:color="auto"/>
                    <w:bottom w:val="none" w:sz="0" w:space="0" w:color="auto"/>
                    <w:right w:val="none" w:sz="0" w:space="0" w:color="auto"/>
                  </w:divBdr>
                </w:div>
                <w:div w:id="1375232342">
                  <w:marLeft w:val="0"/>
                  <w:marRight w:val="0"/>
                  <w:marTop w:val="150"/>
                  <w:marBottom w:val="0"/>
                  <w:divBdr>
                    <w:top w:val="none" w:sz="0" w:space="0" w:color="auto"/>
                    <w:left w:val="none" w:sz="0" w:space="0" w:color="auto"/>
                    <w:bottom w:val="none" w:sz="0" w:space="0" w:color="auto"/>
                    <w:right w:val="none" w:sz="0" w:space="0" w:color="auto"/>
                  </w:divBdr>
                </w:div>
                <w:div w:id="1223755504">
                  <w:marLeft w:val="0"/>
                  <w:marRight w:val="0"/>
                  <w:marTop w:val="150"/>
                  <w:marBottom w:val="0"/>
                  <w:divBdr>
                    <w:top w:val="none" w:sz="0" w:space="0" w:color="auto"/>
                    <w:left w:val="none" w:sz="0" w:space="0" w:color="auto"/>
                    <w:bottom w:val="none" w:sz="0" w:space="0" w:color="auto"/>
                    <w:right w:val="none" w:sz="0" w:space="0" w:color="auto"/>
                  </w:divBdr>
                </w:div>
                <w:div w:id="843129414">
                  <w:marLeft w:val="0"/>
                  <w:marRight w:val="0"/>
                  <w:marTop w:val="150"/>
                  <w:marBottom w:val="0"/>
                  <w:divBdr>
                    <w:top w:val="none" w:sz="0" w:space="0" w:color="auto"/>
                    <w:left w:val="none" w:sz="0" w:space="0" w:color="auto"/>
                    <w:bottom w:val="none" w:sz="0" w:space="0" w:color="auto"/>
                    <w:right w:val="none" w:sz="0" w:space="0" w:color="auto"/>
                  </w:divBdr>
                </w:div>
                <w:div w:id="426199657">
                  <w:marLeft w:val="150"/>
                  <w:marRight w:val="0"/>
                  <w:marTop w:val="0"/>
                  <w:marBottom w:val="0"/>
                  <w:divBdr>
                    <w:top w:val="none" w:sz="0" w:space="0" w:color="auto"/>
                    <w:left w:val="none" w:sz="0" w:space="0" w:color="auto"/>
                    <w:bottom w:val="none" w:sz="0" w:space="0" w:color="auto"/>
                    <w:right w:val="none" w:sz="0" w:space="0" w:color="auto"/>
                  </w:divBdr>
                  <w:divsChild>
                    <w:div w:id="660432780">
                      <w:marLeft w:val="0"/>
                      <w:marRight w:val="0"/>
                      <w:marTop w:val="0"/>
                      <w:marBottom w:val="0"/>
                      <w:divBdr>
                        <w:top w:val="none" w:sz="0" w:space="0" w:color="auto"/>
                        <w:left w:val="none" w:sz="0" w:space="0" w:color="auto"/>
                        <w:bottom w:val="none" w:sz="0" w:space="0" w:color="auto"/>
                        <w:right w:val="none" w:sz="0" w:space="0" w:color="auto"/>
                      </w:divBdr>
                    </w:div>
                  </w:divsChild>
                </w:div>
                <w:div w:id="12428371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2</cp:revision>
  <dcterms:created xsi:type="dcterms:W3CDTF">2025-07-07T03:03:00Z</dcterms:created>
  <dcterms:modified xsi:type="dcterms:W3CDTF">2025-07-07T03:03:00Z</dcterms:modified>
</cp:coreProperties>
</file>