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</w:t>
      </w:r>
      <w:r>
        <w:rPr>
          <w:rFonts w:hint="eastAsia" w:ascii="彩虹小标宋" w:eastAsia="彩虹小标宋"/>
          <w:sz w:val="44"/>
          <w:szCs w:val="44"/>
        </w:rPr>
        <w:t>建信理财睿鑫（增利）固收类最低持有90天产品第8期单日净申购份额的公告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调整</w:t>
      </w:r>
      <w:r>
        <w:rPr>
          <w:rFonts w:hint="eastAsia" w:ascii="彩虹粗仿宋" w:eastAsia="彩虹粗仿宋"/>
          <w:sz w:val="32"/>
          <w:szCs w:val="32"/>
        </w:rPr>
        <w:t>建信理财睿鑫（增利）固收类最低持有90天产品第8期的单日净申购份额（单日累计申购总份额-单日累计赎回总份额），具体如下：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26"/>
        <w:gridCol w:w="335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单日净申购份额限制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建信理财睿鑫（增利）固收类最低持有90天产品第8期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Z7000725000950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B份额：不超过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00万份 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ascii="彩虹粗仿宋" w:eastAsia="彩虹粗仿宋"/>
          <w:sz w:val="32"/>
          <w:szCs w:val="32"/>
        </w:rPr>
        <w:t xml:space="preserve">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0E9C7988"/>
    <w:rsid w:val="11AA0B06"/>
    <w:rsid w:val="126D0AE3"/>
    <w:rsid w:val="1C9902E1"/>
    <w:rsid w:val="24072EE7"/>
    <w:rsid w:val="285E03C4"/>
    <w:rsid w:val="34FD0C24"/>
    <w:rsid w:val="390B3E87"/>
    <w:rsid w:val="391110CE"/>
    <w:rsid w:val="3B480E17"/>
    <w:rsid w:val="4F595D1F"/>
    <w:rsid w:val="50E15051"/>
    <w:rsid w:val="56007508"/>
    <w:rsid w:val="5A5C063B"/>
    <w:rsid w:val="66414EE1"/>
    <w:rsid w:val="71716B9F"/>
    <w:rsid w:val="73326FA2"/>
    <w:rsid w:val="78666EC3"/>
    <w:rsid w:val="7AA975BB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11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2025-10-30T00:54:13Z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6CCD526FB7FB49DBA449C7280699B8DB_13</vt:lpwstr>
  </property>
</Properties>
</file>