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0D1367">
      <w:pPr>
        <w:widowControl/>
        <w:spacing w:before="100" w:beforeAutospacing="1" w:after="100" w:afterAutospacing="1" w:line="460" w:lineRule="atLeast"/>
        <w:jc w:val="center"/>
        <w:rPr>
          <w:rFonts w:ascii="宋体" w:hAnsi="宋体" w:eastAsia="宋体" w:cs="Arial"/>
          <w:b/>
          <w:color w:val="000000"/>
          <w:kern w:val="0"/>
          <w:szCs w:val="21"/>
        </w:rPr>
      </w:pPr>
      <w:r>
        <w:rPr>
          <w:rFonts w:hint="eastAsia" w:ascii="宋体" w:hAnsi="宋体" w:eastAsia="宋体" w:cs="Arial"/>
          <w:b/>
          <w:color w:val="000000"/>
          <w:kern w:val="0"/>
          <w:szCs w:val="21"/>
        </w:rPr>
        <w:t>关于</w:t>
      </w:r>
      <w:r>
        <w:rPr>
          <w:rFonts w:hint="eastAsia" w:ascii="宋体" w:hAnsi="宋体" w:eastAsia="宋体" w:cs="Arial"/>
          <w:b/>
          <w:color w:val="000000"/>
          <w:kern w:val="0"/>
          <w:szCs w:val="21"/>
          <w:lang w:eastAsia="zh-CN"/>
        </w:rPr>
        <w:t>建信理财嘉鑫（稳利）固收类按日开放式产品第30期</w:t>
      </w:r>
      <w:r>
        <w:rPr>
          <w:rFonts w:hint="eastAsia" w:ascii="宋体" w:hAnsi="宋体" w:eastAsia="宋体" w:cs="Arial"/>
          <w:b/>
          <w:color w:val="000000"/>
          <w:kern w:val="0"/>
          <w:szCs w:val="21"/>
          <w:lang w:val="en-US" w:eastAsia="zh-CN"/>
        </w:rPr>
        <w:t>费率优惠</w:t>
      </w:r>
      <w:r>
        <w:rPr>
          <w:rFonts w:hint="eastAsia" w:ascii="宋体" w:hAnsi="宋体" w:eastAsia="宋体" w:cs="Arial"/>
          <w:b/>
          <w:color w:val="000000"/>
          <w:kern w:val="0"/>
          <w:szCs w:val="21"/>
        </w:rPr>
        <w:t>的</w:t>
      </w:r>
      <w:r>
        <w:rPr>
          <w:rFonts w:hint="eastAsia" w:ascii="宋体" w:hAnsi="宋体" w:eastAsia="宋体" w:cs="Arial"/>
          <w:b/>
          <w:color w:val="000000"/>
          <w:kern w:val="0"/>
          <w:szCs w:val="21"/>
          <w:lang w:val="en-US" w:eastAsia="zh-CN"/>
        </w:rPr>
        <w:t>公</w:t>
      </w:r>
      <w:r>
        <w:rPr>
          <w:rFonts w:hint="eastAsia" w:ascii="宋体" w:hAnsi="宋体" w:eastAsia="宋体" w:cs="Arial"/>
          <w:b/>
          <w:color w:val="000000"/>
          <w:kern w:val="0"/>
          <w:szCs w:val="21"/>
        </w:rPr>
        <w:t>告</w:t>
      </w:r>
    </w:p>
    <w:p w14:paraId="04D52AA8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tLeast"/>
        <w:textAlignment w:val="auto"/>
        <w:rPr>
          <w:rFonts w:ascii="微软雅黑" w:hAnsi="微软雅黑" w:eastAsia="微软雅黑" w:cs="Arial"/>
          <w:color w:val="666666"/>
          <w:sz w:val="21"/>
          <w:szCs w:val="21"/>
        </w:rPr>
      </w:pPr>
      <w:r>
        <w:rPr>
          <w:rFonts w:hint="eastAsia" w:cs="Arial"/>
          <w:color w:val="000000"/>
          <w:sz w:val="21"/>
          <w:szCs w:val="21"/>
        </w:rPr>
        <w:t>尊敬的客户：</w:t>
      </w:r>
    </w:p>
    <w:p w14:paraId="4D961771">
      <w:pPr>
        <w:pStyle w:val="3"/>
        <w:snapToGrid w:val="0"/>
        <w:spacing w:line="460" w:lineRule="atLeast"/>
        <w:ind w:firstLine="420"/>
        <w:rPr>
          <w:rFonts w:hint="eastAsia" w:cs="Arial"/>
          <w:color w:val="000000"/>
          <w:sz w:val="21"/>
          <w:szCs w:val="21"/>
        </w:rPr>
      </w:pPr>
      <w:r>
        <w:rPr>
          <w:rFonts w:hint="eastAsia" w:cs="Arial"/>
          <w:color w:val="000000"/>
          <w:sz w:val="21"/>
          <w:szCs w:val="21"/>
        </w:rPr>
        <w:t>为更好地为客户提供投资理财服务，建信理财有限责任公司</w:t>
      </w:r>
      <w:r>
        <w:rPr>
          <w:rFonts w:hint="eastAsia" w:cs="Arial"/>
          <w:color w:val="000000"/>
          <w:sz w:val="21"/>
          <w:szCs w:val="21"/>
          <w:lang w:val="en-US" w:eastAsia="zh-CN"/>
        </w:rPr>
        <w:t>拟对建信理财嘉鑫（稳利）固收类按日开放式产品第30期进行销售费率和</w:t>
      </w:r>
      <w:r>
        <w:rPr>
          <w:rFonts w:hint="eastAsia" w:cs="Arial"/>
          <w:color w:val="000000"/>
          <w:sz w:val="21"/>
          <w:szCs w:val="21"/>
        </w:rPr>
        <w:t>管理费率</w:t>
      </w:r>
      <w:r>
        <w:rPr>
          <w:rFonts w:hint="eastAsia" w:cs="Arial"/>
          <w:color w:val="000000"/>
          <w:sz w:val="21"/>
          <w:szCs w:val="21"/>
          <w:lang w:val="en-US" w:eastAsia="zh-CN"/>
        </w:rPr>
        <w:t>优惠</w:t>
      </w:r>
      <w:r>
        <w:rPr>
          <w:rFonts w:hint="eastAsia" w:cs="Arial"/>
          <w:color w:val="000000"/>
          <w:sz w:val="21"/>
          <w:szCs w:val="21"/>
        </w:rPr>
        <w:t>，具体</w:t>
      </w:r>
      <w:r>
        <w:rPr>
          <w:rFonts w:hint="eastAsia" w:cs="Arial"/>
          <w:color w:val="000000"/>
          <w:sz w:val="21"/>
          <w:szCs w:val="21"/>
          <w:lang w:val="en-US" w:eastAsia="zh-CN"/>
        </w:rPr>
        <w:t>调整</w:t>
      </w:r>
      <w:r>
        <w:rPr>
          <w:rFonts w:hint="eastAsia" w:cs="Arial"/>
          <w:color w:val="000000"/>
          <w:sz w:val="21"/>
          <w:szCs w:val="21"/>
        </w:rPr>
        <w:t>如下：</w:t>
      </w:r>
    </w:p>
    <w:p w14:paraId="034FD55B">
      <w:pPr>
        <w:pStyle w:val="3"/>
        <w:numPr>
          <w:ilvl w:val="0"/>
          <w:numId w:val="1"/>
        </w:numPr>
        <w:snapToGrid w:val="0"/>
        <w:spacing w:line="460" w:lineRule="atLeast"/>
        <w:ind w:firstLine="420"/>
        <w:rPr>
          <w:rFonts w:hint="eastAsia" w:cs="Arial"/>
          <w:color w:val="000000"/>
          <w:sz w:val="21"/>
          <w:szCs w:val="21"/>
          <w:lang w:val="en-US" w:eastAsia="zh-CN"/>
        </w:rPr>
      </w:pPr>
      <w:r>
        <w:rPr>
          <w:rFonts w:hint="eastAsia" w:cs="Arial"/>
          <w:color w:val="000000"/>
          <w:sz w:val="21"/>
          <w:szCs w:val="21"/>
          <w:lang w:val="en-US" w:eastAsia="zh-CN"/>
        </w:rPr>
        <w:t>销售费率</w:t>
      </w:r>
    </w:p>
    <w:tbl>
      <w:tblPr>
        <w:tblStyle w:val="4"/>
        <w:tblW w:w="4838" w:type="pct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double" w:color="auto" w:sz="4" w:space="0"/>
          <w:insideV w:val="doub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99"/>
        <w:gridCol w:w="1784"/>
        <w:gridCol w:w="1900"/>
        <w:gridCol w:w="1966"/>
        <w:gridCol w:w="1617"/>
        <w:gridCol w:w="1650"/>
      </w:tblGrid>
      <w:tr w14:paraId="198CF32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tblHeader/>
          <w:jc w:val="center"/>
        </w:trPr>
        <w:tc>
          <w:tcPr>
            <w:tcW w:w="4799" w:type="dxa"/>
            <w:vMerge w:val="restart"/>
            <w:vAlign w:val="center"/>
          </w:tcPr>
          <w:p w14:paraId="14AAFC4C">
            <w:pPr>
              <w:widowControl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18"/>
                <w:szCs w:val="18"/>
                <w:lang w:bidi="ar"/>
              </w:rPr>
              <w:t>产品名称</w:t>
            </w:r>
          </w:p>
        </w:tc>
        <w:tc>
          <w:tcPr>
            <w:tcW w:w="1784" w:type="dxa"/>
            <w:vMerge w:val="restart"/>
            <w:vAlign w:val="center"/>
          </w:tcPr>
          <w:p w14:paraId="3985C6D6">
            <w:pPr>
              <w:widowControl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全国银行业理财信息登记系统编号</w:t>
            </w:r>
          </w:p>
        </w:tc>
        <w:tc>
          <w:tcPr>
            <w:tcW w:w="1900" w:type="dxa"/>
            <w:vMerge w:val="restart"/>
            <w:vAlign w:val="center"/>
          </w:tcPr>
          <w:p w14:paraId="093DA20B">
            <w:pPr>
              <w:pStyle w:val="3"/>
              <w:snapToGrid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eastAsia="zh-CN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优惠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起始日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eastAsia="zh-CN"/>
              </w:rPr>
              <w:t>（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含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966" w:type="dxa"/>
            <w:vMerge w:val="restart"/>
            <w:shd w:val="clear" w:color="auto" w:fill="auto"/>
            <w:vAlign w:val="center"/>
          </w:tcPr>
          <w:p w14:paraId="5D1D6DE2">
            <w:pPr>
              <w:pStyle w:val="3"/>
              <w:snapToGrid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优惠结束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日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eastAsia="zh-CN"/>
              </w:rPr>
              <w:t>（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含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3267" w:type="dxa"/>
            <w:gridSpan w:val="2"/>
            <w:vAlign w:val="center"/>
          </w:tcPr>
          <w:p w14:paraId="24A5AA3A">
            <w:pPr>
              <w:pStyle w:val="3"/>
              <w:snapToGrid w:val="0"/>
              <w:spacing w:line="240" w:lineRule="auto"/>
              <w:jc w:val="center"/>
              <w:rPr>
                <w:rStyle w:val="6"/>
                <w:rFonts w:hint="eastAsia" w:asciiTheme="minorEastAsia" w:hAnsiTheme="minorEastAsia" w:eastAsiaTheme="minorEastAsia" w:cstheme="minorEastAsia"/>
                <w:color w:val="auto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销售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费率（年化）</w:t>
            </w:r>
          </w:p>
        </w:tc>
      </w:tr>
      <w:tr w14:paraId="3B78E47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tblHeader/>
          <w:jc w:val="center"/>
        </w:trPr>
        <w:tc>
          <w:tcPr>
            <w:tcW w:w="4799" w:type="dxa"/>
            <w:vMerge w:val="continue"/>
            <w:vAlign w:val="center"/>
          </w:tcPr>
          <w:p w14:paraId="025E1CA9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784" w:type="dxa"/>
            <w:vMerge w:val="continue"/>
            <w:vAlign w:val="center"/>
          </w:tcPr>
          <w:p w14:paraId="3D4BFD85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900" w:type="dxa"/>
            <w:vMerge w:val="continue"/>
            <w:vAlign w:val="center"/>
          </w:tcPr>
          <w:p w14:paraId="3C70A8FD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966" w:type="dxa"/>
            <w:vMerge w:val="continue"/>
            <w:vAlign w:val="center"/>
          </w:tcPr>
          <w:p w14:paraId="144BB512">
            <w:pPr>
              <w:pStyle w:val="3"/>
              <w:snapToGrid w:val="0"/>
              <w:spacing w:line="240" w:lineRule="auto"/>
              <w:jc w:val="center"/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617" w:type="dxa"/>
            <w:vAlign w:val="center"/>
          </w:tcPr>
          <w:p w14:paraId="6D6C24E4">
            <w:pPr>
              <w:pStyle w:val="3"/>
              <w:snapToGrid w:val="0"/>
              <w:spacing w:line="240" w:lineRule="auto"/>
              <w:jc w:val="center"/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优惠前</w:t>
            </w:r>
          </w:p>
        </w:tc>
        <w:tc>
          <w:tcPr>
            <w:tcW w:w="1650" w:type="dxa"/>
            <w:vAlign w:val="center"/>
          </w:tcPr>
          <w:p w14:paraId="65D18AB2">
            <w:pPr>
              <w:pStyle w:val="3"/>
              <w:snapToGrid w:val="0"/>
              <w:spacing w:line="240" w:lineRule="auto"/>
              <w:jc w:val="center"/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优惠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后</w:t>
            </w:r>
          </w:p>
        </w:tc>
      </w:tr>
      <w:tr w14:paraId="60694F2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799" w:type="dxa"/>
            <w:shd w:val="clear" w:color="auto" w:fill="auto"/>
            <w:vAlign w:val="center"/>
          </w:tcPr>
          <w:p w14:paraId="584BF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建信理财嘉鑫（稳利）固收类按日开放式产品第30期-A类份额</w:t>
            </w:r>
            <w:bookmarkStart w:id="0" w:name="_GoBack"/>
            <w:bookmarkEnd w:id="0"/>
          </w:p>
        </w:tc>
        <w:tc>
          <w:tcPr>
            <w:tcW w:w="1784" w:type="dxa"/>
            <w:vAlign w:val="center"/>
          </w:tcPr>
          <w:p w14:paraId="5F1A8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Z7000725000589</w:t>
            </w:r>
          </w:p>
        </w:tc>
        <w:tc>
          <w:tcPr>
            <w:tcW w:w="1900" w:type="dxa"/>
            <w:vAlign w:val="center"/>
          </w:tcPr>
          <w:p w14:paraId="46645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2025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年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月</w:t>
            </w:r>
            <w:r>
              <w:rPr>
                <w:rFonts w:hint="eastAsia" w:asciiTheme="minorEastAsia" w:hAnsiTheme="minorEastAsia" w:cstheme="minorEastAsia"/>
                <w:color w:val="auto"/>
                <w:sz w:val="20"/>
                <w:szCs w:val="20"/>
                <w:lang w:val="en-US" w:eastAsia="zh-CN"/>
              </w:rPr>
              <w:t>11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日</w:t>
            </w:r>
          </w:p>
        </w:tc>
        <w:tc>
          <w:tcPr>
            <w:tcW w:w="1966" w:type="dxa"/>
            <w:vAlign w:val="center"/>
          </w:tcPr>
          <w:p w14:paraId="5944127B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年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月</w:t>
            </w:r>
            <w:r>
              <w:rPr>
                <w:rFonts w:hint="eastAsia" w:asciiTheme="minorEastAsia" w:hAnsiTheme="minorEastAsia" w:cstheme="minorEastAsia"/>
                <w:color w:val="auto"/>
                <w:sz w:val="20"/>
                <w:szCs w:val="20"/>
                <w:lang w:val="en-US" w:eastAsia="zh-CN"/>
              </w:rPr>
              <w:t>11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日</w:t>
            </w:r>
          </w:p>
        </w:tc>
        <w:tc>
          <w:tcPr>
            <w:tcW w:w="1617" w:type="dxa"/>
            <w:vAlign w:val="center"/>
          </w:tcPr>
          <w:p w14:paraId="2B5921EB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0.</w:t>
            </w:r>
            <w:r>
              <w:rPr>
                <w:rFonts w:hint="eastAsia" w:asciiTheme="minorEastAsia" w:hAnsiTheme="minorEastAsia" w:cstheme="minorEastAsia"/>
                <w:color w:val="auto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%</w:t>
            </w:r>
          </w:p>
        </w:tc>
        <w:tc>
          <w:tcPr>
            <w:tcW w:w="1650" w:type="dxa"/>
            <w:vAlign w:val="center"/>
          </w:tcPr>
          <w:p w14:paraId="11F11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0.10%</w:t>
            </w:r>
          </w:p>
        </w:tc>
      </w:tr>
      <w:tr w14:paraId="22A73C8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799" w:type="dxa"/>
            <w:shd w:val="clear" w:color="auto" w:fill="auto"/>
            <w:vAlign w:val="center"/>
          </w:tcPr>
          <w:p w14:paraId="15719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建信理财嘉鑫（稳利）固收类按日开放式产品第30期-B类份额</w:t>
            </w:r>
          </w:p>
        </w:tc>
        <w:tc>
          <w:tcPr>
            <w:tcW w:w="1784" w:type="dxa"/>
            <w:vAlign w:val="center"/>
          </w:tcPr>
          <w:p w14:paraId="29CB7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Z7000725000589</w:t>
            </w:r>
          </w:p>
        </w:tc>
        <w:tc>
          <w:tcPr>
            <w:tcW w:w="1900" w:type="dxa"/>
            <w:vAlign w:val="center"/>
          </w:tcPr>
          <w:p w14:paraId="253C2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2025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年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月</w:t>
            </w:r>
            <w:r>
              <w:rPr>
                <w:rFonts w:hint="eastAsia" w:asciiTheme="minorEastAsia" w:hAnsiTheme="minorEastAsia" w:cstheme="minorEastAsia"/>
                <w:color w:val="auto"/>
                <w:sz w:val="20"/>
                <w:szCs w:val="20"/>
                <w:lang w:val="en-US" w:eastAsia="zh-CN"/>
              </w:rPr>
              <w:t>11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日</w:t>
            </w:r>
          </w:p>
        </w:tc>
        <w:tc>
          <w:tcPr>
            <w:tcW w:w="1966" w:type="dxa"/>
            <w:vAlign w:val="center"/>
          </w:tcPr>
          <w:p w14:paraId="5A5DAAFB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年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月</w:t>
            </w:r>
            <w:r>
              <w:rPr>
                <w:rFonts w:hint="eastAsia" w:asciiTheme="minorEastAsia" w:hAnsiTheme="minorEastAsia" w:cstheme="minorEastAsia"/>
                <w:color w:val="auto"/>
                <w:sz w:val="20"/>
                <w:szCs w:val="20"/>
                <w:lang w:val="en-US" w:eastAsia="zh-CN"/>
              </w:rPr>
              <w:t>11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日</w:t>
            </w:r>
          </w:p>
        </w:tc>
        <w:tc>
          <w:tcPr>
            <w:tcW w:w="1617" w:type="dxa"/>
            <w:vAlign w:val="center"/>
          </w:tcPr>
          <w:p w14:paraId="3152F31E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0.</w:t>
            </w:r>
            <w:r>
              <w:rPr>
                <w:rFonts w:hint="eastAsia" w:asciiTheme="minorEastAsia" w:hAnsiTheme="minorEastAsia" w:cstheme="minorEastAsia"/>
                <w:color w:val="auto"/>
                <w:sz w:val="20"/>
                <w:szCs w:val="20"/>
                <w:lang w:val="en-US" w:eastAsia="zh-CN"/>
              </w:rPr>
              <w:t>15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%</w:t>
            </w:r>
          </w:p>
        </w:tc>
        <w:tc>
          <w:tcPr>
            <w:tcW w:w="1650" w:type="dxa"/>
            <w:vAlign w:val="center"/>
          </w:tcPr>
          <w:p w14:paraId="45B05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0.05%</w:t>
            </w:r>
          </w:p>
        </w:tc>
      </w:tr>
    </w:tbl>
    <w:p w14:paraId="424C96BA">
      <w:pPr>
        <w:pStyle w:val="3"/>
        <w:numPr>
          <w:ilvl w:val="0"/>
          <w:numId w:val="0"/>
        </w:numPr>
        <w:snapToGrid w:val="0"/>
        <w:spacing w:before="0" w:beforeAutospacing="0" w:after="0" w:afterAutospacing="0" w:line="240" w:lineRule="auto"/>
        <w:rPr>
          <w:rFonts w:hint="eastAsia" w:cs="Arial"/>
          <w:color w:val="000000"/>
          <w:sz w:val="21"/>
          <w:szCs w:val="21"/>
          <w:lang w:val="en-US" w:eastAsia="zh-CN"/>
        </w:rPr>
      </w:pPr>
    </w:p>
    <w:p w14:paraId="54D0E886">
      <w:pPr>
        <w:pStyle w:val="3"/>
        <w:numPr>
          <w:ilvl w:val="0"/>
          <w:numId w:val="1"/>
        </w:numPr>
        <w:snapToGrid w:val="0"/>
        <w:spacing w:line="460" w:lineRule="atLeast"/>
        <w:ind w:firstLine="420"/>
        <w:rPr>
          <w:rFonts w:hint="default" w:cs="Arial"/>
          <w:color w:val="000000"/>
          <w:sz w:val="21"/>
          <w:szCs w:val="21"/>
          <w:lang w:val="en-US" w:eastAsia="zh-CN"/>
        </w:rPr>
      </w:pPr>
      <w:r>
        <w:rPr>
          <w:rFonts w:hint="eastAsia" w:cs="Arial"/>
          <w:color w:val="000000"/>
          <w:sz w:val="21"/>
          <w:szCs w:val="21"/>
          <w:lang w:val="en-US" w:eastAsia="zh-CN"/>
        </w:rPr>
        <w:t>管理费率</w:t>
      </w:r>
    </w:p>
    <w:tbl>
      <w:tblPr>
        <w:tblStyle w:val="4"/>
        <w:tblW w:w="4838" w:type="pct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double" w:color="auto" w:sz="4" w:space="0"/>
          <w:insideV w:val="doub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99"/>
        <w:gridCol w:w="1784"/>
        <w:gridCol w:w="1916"/>
        <w:gridCol w:w="1967"/>
        <w:gridCol w:w="1600"/>
        <w:gridCol w:w="1650"/>
      </w:tblGrid>
      <w:tr w14:paraId="6137822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tblHeader/>
          <w:jc w:val="center"/>
        </w:trPr>
        <w:tc>
          <w:tcPr>
            <w:tcW w:w="4799" w:type="dxa"/>
            <w:vMerge w:val="restart"/>
            <w:vAlign w:val="center"/>
          </w:tcPr>
          <w:p w14:paraId="17F1658C">
            <w:pPr>
              <w:widowControl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18"/>
                <w:szCs w:val="18"/>
                <w:lang w:bidi="ar"/>
              </w:rPr>
              <w:t>产品名称</w:t>
            </w:r>
          </w:p>
        </w:tc>
        <w:tc>
          <w:tcPr>
            <w:tcW w:w="1784" w:type="dxa"/>
            <w:vMerge w:val="restart"/>
            <w:vAlign w:val="center"/>
          </w:tcPr>
          <w:p w14:paraId="560934D2">
            <w:pPr>
              <w:widowControl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全国银行业理财信息登记系统编号</w:t>
            </w:r>
          </w:p>
        </w:tc>
        <w:tc>
          <w:tcPr>
            <w:tcW w:w="1916" w:type="dxa"/>
            <w:vMerge w:val="restart"/>
            <w:vAlign w:val="center"/>
          </w:tcPr>
          <w:p w14:paraId="0CACA5DB">
            <w:pPr>
              <w:pStyle w:val="3"/>
              <w:snapToGrid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eastAsia="zh-CN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优惠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起始日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eastAsia="zh-CN"/>
              </w:rPr>
              <w:t>（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含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967" w:type="dxa"/>
            <w:vMerge w:val="restart"/>
            <w:shd w:val="clear" w:color="auto" w:fill="auto"/>
            <w:vAlign w:val="center"/>
          </w:tcPr>
          <w:p w14:paraId="67A18BCA">
            <w:pPr>
              <w:pStyle w:val="3"/>
              <w:snapToGrid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优惠结束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日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eastAsia="zh-CN"/>
              </w:rPr>
              <w:t>（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含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3250" w:type="dxa"/>
            <w:gridSpan w:val="2"/>
            <w:vAlign w:val="center"/>
          </w:tcPr>
          <w:p w14:paraId="2351C94A">
            <w:pPr>
              <w:pStyle w:val="3"/>
              <w:snapToGrid w:val="0"/>
              <w:spacing w:line="240" w:lineRule="auto"/>
              <w:jc w:val="center"/>
              <w:rPr>
                <w:rStyle w:val="6"/>
                <w:rFonts w:hint="eastAsia" w:asciiTheme="minorEastAsia" w:hAnsiTheme="minorEastAsia" w:eastAsiaTheme="minorEastAsia" w:cstheme="minorEastAsia"/>
                <w:color w:val="auto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管理费率（年化）</w:t>
            </w:r>
          </w:p>
        </w:tc>
      </w:tr>
      <w:tr w14:paraId="7985BD4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tblHeader/>
          <w:jc w:val="center"/>
        </w:trPr>
        <w:tc>
          <w:tcPr>
            <w:tcW w:w="4799" w:type="dxa"/>
            <w:vMerge w:val="continue"/>
            <w:vAlign w:val="center"/>
          </w:tcPr>
          <w:p w14:paraId="71607D06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784" w:type="dxa"/>
            <w:vMerge w:val="continue"/>
            <w:vAlign w:val="center"/>
          </w:tcPr>
          <w:p w14:paraId="7953AD43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916" w:type="dxa"/>
            <w:vMerge w:val="continue"/>
            <w:vAlign w:val="center"/>
          </w:tcPr>
          <w:p w14:paraId="4B460578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967" w:type="dxa"/>
            <w:vMerge w:val="continue"/>
            <w:vAlign w:val="center"/>
          </w:tcPr>
          <w:p w14:paraId="606F9CE6">
            <w:pPr>
              <w:pStyle w:val="3"/>
              <w:snapToGrid w:val="0"/>
              <w:spacing w:line="240" w:lineRule="auto"/>
              <w:jc w:val="center"/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600" w:type="dxa"/>
            <w:vAlign w:val="center"/>
          </w:tcPr>
          <w:p w14:paraId="518B5324">
            <w:pPr>
              <w:pStyle w:val="3"/>
              <w:snapToGrid w:val="0"/>
              <w:spacing w:line="240" w:lineRule="auto"/>
              <w:jc w:val="center"/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优惠前</w:t>
            </w:r>
          </w:p>
        </w:tc>
        <w:tc>
          <w:tcPr>
            <w:tcW w:w="1650" w:type="dxa"/>
            <w:vAlign w:val="center"/>
          </w:tcPr>
          <w:p w14:paraId="78E38C2B">
            <w:pPr>
              <w:pStyle w:val="3"/>
              <w:snapToGrid w:val="0"/>
              <w:spacing w:line="240" w:lineRule="auto"/>
              <w:jc w:val="center"/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优惠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后</w:t>
            </w:r>
          </w:p>
        </w:tc>
      </w:tr>
      <w:tr w14:paraId="614A2AA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799" w:type="dxa"/>
            <w:shd w:val="clear" w:color="auto" w:fill="auto"/>
            <w:vAlign w:val="center"/>
          </w:tcPr>
          <w:p w14:paraId="61018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建信理财嘉鑫（稳利）固收类按日开放式产品第30期</w:t>
            </w:r>
          </w:p>
        </w:tc>
        <w:tc>
          <w:tcPr>
            <w:tcW w:w="1784" w:type="dxa"/>
            <w:vAlign w:val="center"/>
          </w:tcPr>
          <w:p w14:paraId="050C4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Z7000725000589</w:t>
            </w:r>
          </w:p>
        </w:tc>
        <w:tc>
          <w:tcPr>
            <w:tcW w:w="1916" w:type="dxa"/>
            <w:vAlign w:val="center"/>
          </w:tcPr>
          <w:p w14:paraId="331C7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2025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年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月</w:t>
            </w:r>
            <w:r>
              <w:rPr>
                <w:rFonts w:hint="eastAsia" w:asciiTheme="minorEastAsia" w:hAnsiTheme="minorEastAsia" w:cstheme="minorEastAsia"/>
                <w:color w:val="auto"/>
                <w:sz w:val="20"/>
                <w:szCs w:val="20"/>
                <w:lang w:val="en-US" w:eastAsia="zh-CN"/>
              </w:rPr>
              <w:t>11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日</w:t>
            </w:r>
          </w:p>
        </w:tc>
        <w:tc>
          <w:tcPr>
            <w:tcW w:w="1967" w:type="dxa"/>
            <w:vAlign w:val="center"/>
          </w:tcPr>
          <w:p w14:paraId="52A8C0A4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年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月</w:t>
            </w:r>
            <w:r>
              <w:rPr>
                <w:rFonts w:hint="eastAsia" w:asciiTheme="minorEastAsia" w:hAnsiTheme="minorEastAsia" w:cstheme="minorEastAsia"/>
                <w:color w:val="auto"/>
                <w:sz w:val="20"/>
                <w:szCs w:val="20"/>
                <w:lang w:val="en-US" w:eastAsia="zh-CN"/>
              </w:rPr>
              <w:t>11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日</w:t>
            </w:r>
          </w:p>
        </w:tc>
        <w:tc>
          <w:tcPr>
            <w:tcW w:w="1600" w:type="dxa"/>
            <w:vAlign w:val="center"/>
          </w:tcPr>
          <w:p w14:paraId="2AECAAAC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0.</w:t>
            </w:r>
            <w:r>
              <w:rPr>
                <w:rFonts w:hint="eastAsia" w:asciiTheme="minorEastAsia" w:hAnsiTheme="minorEastAsia" w:cstheme="minorEastAsia"/>
                <w:color w:val="auto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%</w:t>
            </w:r>
          </w:p>
        </w:tc>
        <w:tc>
          <w:tcPr>
            <w:tcW w:w="1650" w:type="dxa"/>
            <w:vAlign w:val="center"/>
          </w:tcPr>
          <w:p w14:paraId="107D8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0.10%</w:t>
            </w:r>
          </w:p>
        </w:tc>
      </w:tr>
    </w:tbl>
    <w:p w14:paraId="785F335F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firstLine="420"/>
        <w:textAlignment w:val="auto"/>
        <w:rPr>
          <w:rFonts w:hint="default" w:eastAsia="宋体" w:cs="Arial"/>
          <w:color w:val="000000"/>
          <w:sz w:val="21"/>
          <w:szCs w:val="21"/>
          <w:lang w:val="en-US" w:eastAsia="zh-CN"/>
        </w:rPr>
      </w:pPr>
      <w:r>
        <w:rPr>
          <w:rFonts w:hint="eastAsia" w:cs="Arial"/>
          <w:color w:val="000000"/>
          <w:sz w:val="21"/>
          <w:szCs w:val="21"/>
          <w:lang w:val="en-US" w:eastAsia="zh-CN"/>
        </w:rPr>
        <w:t>自优惠结束日后，销售费率和管理费率恢复至原费率水平。</w:t>
      </w:r>
    </w:p>
    <w:p w14:paraId="49485491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firstLine="420"/>
        <w:textAlignment w:val="auto"/>
        <w:rPr>
          <w:rFonts w:ascii="微软雅黑" w:hAnsi="微软雅黑" w:eastAsia="微软雅黑" w:cs="Arial"/>
          <w:color w:val="666666"/>
          <w:sz w:val="21"/>
          <w:szCs w:val="21"/>
        </w:rPr>
      </w:pPr>
      <w:r>
        <w:rPr>
          <w:rFonts w:hint="eastAsia" w:cs="Arial"/>
          <w:color w:val="000000"/>
          <w:sz w:val="21"/>
          <w:szCs w:val="21"/>
        </w:rPr>
        <w:t>本</w:t>
      </w:r>
      <w:r>
        <w:rPr>
          <w:rFonts w:hint="eastAsia" w:cs="Arial"/>
          <w:color w:val="000000"/>
          <w:sz w:val="21"/>
          <w:szCs w:val="21"/>
          <w:lang w:val="en-US" w:eastAsia="zh-CN"/>
        </w:rPr>
        <w:t>公</w:t>
      </w:r>
      <w:r>
        <w:rPr>
          <w:rFonts w:hint="eastAsia" w:cs="Arial"/>
          <w:color w:val="000000"/>
          <w:sz w:val="21"/>
          <w:szCs w:val="21"/>
        </w:rPr>
        <w:t>告未提及事宜，按原产品说明书和风险揭示书的约定执行。</w:t>
      </w:r>
    </w:p>
    <w:p w14:paraId="57192C05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420"/>
        <w:textAlignment w:val="auto"/>
        <w:rPr>
          <w:rFonts w:hint="eastAsia" w:eastAsia="宋体" w:cs="Arial"/>
          <w:color w:val="000000"/>
          <w:sz w:val="21"/>
          <w:szCs w:val="21"/>
          <w:lang w:eastAsia="zh-CN"/>
        </w:rPr>
      </w:pPr>
      <w:r>
        <w:rPr>
          <w:rFonts w:hint="eastAsia" w:cs="Arial"/>
          <w:color w:val="000000"/>
          <w:sz w:val="21"/>
          <w:szCs w:val="21"/>
        </w:rPr>
        <w:t>特此</w:t>
      </w:r>
      <w:r>
        <w:rPr>
          <w:rFonts w:hint="eastAsia" w:cs="Arial"/>
          <w:color w:val="000000"/>
          <w:sz w:val="21"/>
          <w:szCs w:val="21"/>
          <w:lang w:val="en-US" w:eastAsia="zh-CN"/>
        </w:rPr>
        <w:t>公</w:t>
      </w:r>
      <w:r>
        <w:rPr>
          <w:rFonts w:hint="eastAsia" w:cs="Arial"/>
          <w:color w:val="000000"/>
          <w:sz w:val="21"/>
          <w:szCs w:val="21"/>
        </w:rPr>
        <w:t>告</w:t>
      </w:r>
      <w:r>
        <w:rPr>
          <w:rFonts w:hint="eastAsia" w:cs="Arial"/>
          <w:color w:val="000000"/>
          <w:sz w:val="21"/>
          <w:szCs w:val="21"/>
          <w:lang w:eastAsia="zh-CN"/>
        </w:rPr>
        <w:t>。</w:t>
      </w:r>
    </w:p>
    <w:p w14:paraId="6CC573A4">
      <w:pPr>
        <w:pStyle w:val="3"/>
        <w:snapToGrid w:val="0"/>
        <w:spacing w:before="0" w:beforeAutospacing="0" w:after="0" w:afterAutospacing="0" w:line="460" w:lineRule="atLeast"/>
        <w:ind w:firstLine="420"/>
        <w:jc w:val="right"/>
        <w:rPr>
          <w:rFonts w:cs="Arial" w:asciiTheme="minorEastAsia" w:hAnsiTheme="minorEastAsia" w:eastAsiaTheme="minorEastAsia"/>
          <w:color w:val="666666"/>
          <w:sz w:val="21"/>
          <w:szCs w:val="21"/>
        </w:rPr>
      </w:pPr>
      <w:r>
        <w:rPr>
          <w:rFonts w:hint="eastAsia" w:cs="Arial" w:asciiTheme="minorEastAsia" w:hAnsiTheme="minorEastAsia" w:eastAsiaTheme="minorEastAsia"/>
          <w:color w:val="000000"/>
          <w:sz w:val="21"/>
          <w:szCs w:val="21"/>
        </w:rPr>
        <w:t>建信理财有限责任公司</w:t>
      </w:r>
    </w:p>
    <w:p w14:paraId="3D1397BF">
      <w:pPr>
        <w:pStyle w:val="3"/>
        <w:snapToGrid w:val="0"/>
        <w:spacing w:before="0" w:beforeAutospacing="0" w:after="0" w:afterAutospacing="0" w:line="460" w:lineRule="atLeast"/>
        <w:ind w:firstLine="420"/>
        <w:jc w:val="right"/>
      </w:pPr>
      <w:r>
        <w:rPr>
          <w:rFonts w:hint="eastAsia" w:cs="Arial" w:asciiTheme="minorEastAsia" w:hAnsiTheme="minorEastAsia" w:eastAsiaTheme="minorEastAsia"/>
          <w:color w:val="000000"/>
          <w:sz w:val="21"/>
          <w:szCs w:val="21"/>
        </w:rPr>
        <w:t>202</w:t>
      </w:r>
      <w:r>
        <w:rPr>
          <w:rFonts w:hint="eastAsia" w:cs="Arial" w:asciiTheme="minorEastAsia" w:hAnsiTheme="minorEastAsia" w:eastAsiaTheme="minorEastAsia"/>
          <w:color w:val="000000"/>
          <w:sz w:val="21"/>
          <w:szCs w:val="21"/>
          <w:lang w:val="en-US" w:eastAsia="zh-CN"/>
        </w:rPr>
        <w:t>5</w:t>
      </w:r>
      <w:r>
        <w:rPr>
          <w:rFonts w:hint="eastAsia" w:cs="Arial" w:asciiTheme="minorEastAsia" w:hAnsiTheme="minorEastAsia" w:eastAsiaTheme="minorEastAsia"/>
          <w:color w:val="000000"/>
          <w:sz w:val="21"/>
          <w:szCs w:val="21"/>
        </w:rPr>
        <w:t>年</w:t>
      </w:r>
      <w:r>
        <w:rPr>
          <w:rFonts w:hint="eastAsia" w:cs="Arial" w:asciiTheme="minorEastAsia" w:hAnsiTheme="minorEastAsia" w:eastAsiaTheme="minorEastAsia"/>
          <w:color w:val="000000"/>
          <w:sz w:val="21"/>
          <w:szCs w:val="21"/>
          <w:lang w:val="en-US" w:eastAsia="zh-CN"/>
        </w:rPr>
        <w:t>11</w:t>
      </w:r>
      <w:r>
        <w:rPr>
          <w:rFonts w:hint="eastAsia" w:cs="Arial" w:asciiTheme="minorEastAsia" w:hAnsiTheme="minorEastAsia" w:eastAsiaTheme="minorEastAsia"/>
          <w:color w:val="000000"/>
          <w:sz w:val="21"/>
          <w:szCs w:val="21"/>
        </w:rPr>
        <w:t>月</w:t>
      </w:r>
      <w:r>
        <w:rPr>
          <w:rFonts w:hint="eastAsia" w:cs="Arial" w:asciiTheme="minorEastAsia" w:hAnsiTheme="minorEastAsia" w:eastAsiaTheme="minorEastAsia"/>
          <w:color w:val="000000"/>
          <w:sz w:val="21"/>
          <w:szCs w:val="21"/>
          <w:lang w:val="en-US" w:eastAsia="zh-CN"/>
        </w:rPr>
        <w:t>7</w:t>
      </w:r>
      <w:r>
        <w:rPr>
          <w:rFonts w:hint="eastAsia" w:cs="Arial" w:asciiTheme="minorEastAsia" w:hAnsiTheme="minorEastAsia" w:eastAsiaTheme="minorEastAsia"/>
          <w:color w:val="000000"/>
          <w:sz w:val="21"/>
          <w:szCs w:val="21"/>
        </w:rPr>
        <w:t>日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1879952"/>
    <w:multiLevelType w:val="singleLevel"/>
    <w:tmpl w:val="F187995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CB2E50"/>
    <w:rsid w:val="00D41374"/>
    <w:rsid w:val="01C866F9"/>
    <w:rsid w:val="02463876"/>
    <w:rsid w:val="03C249D5"/>
    <w:rsid w:val="04831DF5"/>
    <w:rsid w:val="04A732AF"/>
    <w:rsid w:val="062A67E2"/>
    <w:rsid w:val="063B1146"/>
    <w:rsid w:val="072968D9"/>
    <w:rsid w:val="07C74150"/>
    <w:rsid w:val="07CF155D"/>
    <w:rsid w:val="0EE235F9"/>
    <w:rsid w:val="0EF33893"/>
    <w:rsid w:val="0F1757F6"/>
    <w:rsid w:val="10057D33"/>
    <w:rsid w:val="117466E5"/>
    <w:rsid w:val="12EA0F15"/>
    <w:rsid w:val="12F066A2"/>
    <w:rsid w:val="13A0778E"/>
    <w:rsid w:val="13D23914"/>
    <w:rsid w:val="14231504"/>
    <w:rsid w:val="146F4594"/>
    <w:rsid w:val="14AB2864"/>
    <w:rsid w:val="16292C6D"/>
    <w:rsid w:val="16B17642"/>
    <w:rsid w:val="16D0087B"/>
    <w:rsid w:val="16F5695F"/>
    <w:rsid w:val="18DF34D5"/>
    <w:rsid w:val="195A7F25"/>
    <w:rsid w:val="1CE407F6"/>
    <w:rsid w:val="1E703800"/>
    <w:rsid w:val="1ED41A95"/>
    <w:rsid w:val="1F240D25"/>
    <w:rsid w:val="21BF627D"/>
    <w:rsid w:val="22F8694F"/>
    <w:rsid w:val="23E822B6"/>
    <w:rsid w:val="24171AC2"/>
    <w:rsid w:val="242642DB"/>
    <w:rsid w:val="24853F16"/>
    <w:rsid w:val="24F44C86"/>
    <w:rsid w:val="252F258F"/>
    <w:rsid w:val="26810635"/>
    <w:rsid w:val="26C55EA9"/>
    <w:rsid w:val="27AD03A5"/>
    <w:rsid w:val="284F72AB"/>
    <w:rsid w:val="28ED0D31"/>
    <w:rsid w:val="298F1E12"/>
    <w:rsid w:val="2A6A4FF1"/>
    <w:rsid w:val="2B2960DD"/>
    <w:rsid w:val="2C7A1CCF"/>
    <w:rsid w:val="2F505AA6"/>
    <w:rsid w:val="32021299"/>
    <w:rsid w:val="32C41357"/>
    <w:rsid w:val="32D75DF9"/>
    <w:rsid w:val="3330216E"/>
    <w:rsid w:val="3535115B"/>
    <w:rsid w:val="35352A53"/>
    <w:rsid w:val="35A35F0C"/>
    <w:rsid w:val="35A66E91"/>
    <w:rsid w:val="35D36382"/>
    <w:rsid w:val="36E921AB"/>
    <w:rsid w:val="39203FFE"/>
    <w:rsid w:val="39BE045B"/>
    <w:rsid w:val="39F562C6"/>
    <w:rsid w:val="39FC4F68"/>
    <w:rsid w:val="3A4221B6"/>
    <w:rsid w:val="3AC72CFB"/>
    <w:rsid w:val="3BA8586D"/>
    <w:rsid w:val="3BDB2454"/>
    <w:rsid w:val="3C103F97"/>
    <w:rsid w:val="3C1C32B9"/>
    <w:rsid w:val="3CC169E5"/>
    <w:rsid w:val="3D880301"/>
    <w:rsid w:val="3F4150D3"/>
    <w:rsid w:val="4067788A"/>
    <w:rsid w:val="40EC39E1"/>
    <w:rsid w:val="416937DF"/>
    <w:rsid w:val="42C46384"/>
    <w:rsid w:val="432937C0"/>
    <w:rsid w:val="44F4717C"/>
    <w:rsid w:val="45EE3F48"/>
    <w:rsid w:val="466A1313"/>
    <w:rsid w:val="47B75005"/>
    <w:rsid w:val="47BB52E5"/>
    <w:rsid w:val="49863B93"/>
    <w:rsid w:val="49E43B49"/>
    <w:rsid w:val="4A4C3DB8"/>
    <w:rsid w:val="4B380F77"/>
    <w:rsid w:val="4C4F073F"/>
    <w:rsid w:val="4D0639CC"/>
    <w:rsid w:val="4D7D33AF"/>
    <w:rsid w:val="4DE93BA1"/>
    <w:rsid w:val="4F3A6B88"/>
    <w:rsid w:val="4F6222CB"/>
    <w:rsid w:val="508E21DE"/>
    <w:rsid w:val="516B0122"/>
    <w:rsid w:val="52866F14"/>
    <w:rsid w:val="53335E7F"/>
    <w:rsid w:val="543847B7"/>
    <w:rsid w:val="54CB2E50"/>
    <w:rsid w:val="5547000F"/>
    <w:rsid w:val="55A37D12"/>
    <w:rsid w:val="572F3796"/>
    <w:rsid w:val="58913FBE"/>
    <w:rsid w:val="59CB70B4"/>
    <w:rsid w:val="5AB158C3"/>
    <w:rsid w:val="5B03795E"/>
    <w:rsid w:val="5B846FD8"/>
    <w:rsid w:val="5B8B65BE"/>
    <w:rsid w:val="5D9F4227"/>
    <w:rsid w:val="5DD83C04"/>
    <w:rsid w:val="60213828"/>
    <w:rsid w:val="609108DC"/>
    <w:rsid w:val="6141071D"/>
    <w:rsid w:val="630E1F93"/>
    <w:rsid w:val="64733A58"/>
    <w:rsid w:val="649F2AD8"/>
    <w:rsid w:val="64FE3C72"/>
    <w:rsid w:val="652520C5"/>
    <w:rsid w:val="695732E1"/>
    <w:rsid w:val="69824AE2"/>
    <w:rsid w:val="6A385E52"/>
    <w:rsid w:val="6AA1457D"/>
    <w:rsid w:val="6BA96FAE"/>
    <w:rsid w:val="6CD97AB6"/>
    <w:rsid w:val="6DE568D8"/>
    <w:rsid w:val="6FD36103"/>
    <w:rsid w:val="70531ED5"/>
    <w:rsid w:val="70EF55D6"/>
    <w:rsid w:val="71814DB7"/>
    <w:rsid w:val="724D0D96"/>
    <w:rsid w:val="72920205"/>
    <w:rsid w:val="72FF663B"/>
    <w:rsid w:val="735A21CD"/>
    <w:rsid w:val="745325C0"/>
    <w:rsid w:val="747B30DE"/>
    <w:rsid w:val="75B02793"/>
    <w:rsid w:val="762C73B5"/>
    <w:rsid w:val="76571974"/>
    <w:rsid w:val="76FF56E8"/>
    <w:rsid w:val="77541DD9"/>
    <w:rsid w:val="777A0A13"/>
    <w:rsid w:val="789101DB"/>
    <w:rsid w:val="791E0625"/>
    <w:rsid w:val="7C0A200F"/>
    <w:rsid w:val="7C3073CD"/>
    <w:rsid w:val="7CFA4897"/>
    <w:rsid w:val="7D8E621E"/>
    <w:rsid w:val="7DB85F4F"/>
    <w:rsid w:val="7DC31D62"/>
    <w:rsid w:val="7E194CEF"/>
    <w:rsid w:val="7E312396"/>
    <w:rsid w:val="7FB27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Strong"/>
    <w:basedOn w:val="5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2024-11-11T01:06:00Z</dcterms:created>
  <dc:creator>jxlc</dc:creator>
  <cp:lastModifiedBy>jxlc</cp:lastModifiedBy>
  <dcterms:modified xsi:type="dcterms:W3CDTF">2025-10-29T00:36:17Z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DEBD07D541514CE8A893BA008B1CDA01_11</vt:lpwstr>
  </property>
</Properties>
</file>