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彩虹小标宋" w:eastAsia="彩虹小标宋"/>
          <w:sz w:val="44"/>
          <w:szCs w:val="44"/>
          <w:lang w:val="en-US" w:eastAsia="zh-CN"/>
        </w:rPr>
      </w:pPr>
      <w:r>
        <w:rPr>
          <w:rFonts w:hint="eastAsia" w:ascii="彩虹小标宋" w:eastAsia="彩虹小标宋"/>
          <w:sz w:val="44"/>
          <w:szCs w:val="44"/>
        </w:rPr>
        <w:t>关于</w:t>
      </w:r>
      <w:r>
        <w:rPr>
          <w:rFonts w:hint="eastAsia" w:ascii="彩虹小标宋" w:eastAsia="彩虹小标宋"/>
          <w:sz w:val="44"/>
          <w:szCs w:val="44"/>
          <w:lang w:val="en-US" w:eastAsia="zh-CN"/>
        </w:rPr>
        <w:t>建信理财部分开放式产品取消限制单日净申购份额的公告</w:t>
      </w:r>
    </w:p>
    <w:p>
      <w:pPr>
        <w:spacing w:line="560" w:lineRule="exact"/>
        <w:rPr>
          <w:rFonts w:ascii="彩虹粗仿宋" w:eastAsia="彩虹粗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彩虹粗仿宋" w:eastAsia="彩虹粗仿宋"/>
          <w:sz w:val="32"/>
          <w:szCs w:val="32"/>
        </w:rPr>
      </w:pPr>
      <w:r>
        <w:rPr>
          <w:rFonts w:hint="eastAsia" w:ascii="彩虹粗仿宋" w:eastAsia="彩虹粗仿宋"/>
          <w:sz w:val="32"/>
          <w:szCs w:val="32"/>
        </w:rPr>
        <w:t>尊敬的投资者：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eastAsia="彩虹粗仿宋"/>
          <w:sz w:val="32"/>
          <w:szCs w:val="32"/>
          <w:lang w:val="en-US" w:eastAsia="zh-CN"/>
        </w:rPr>
      </w:pPr>
      <w:r>
        <w:rPr>
          <w:rFonts w:hint="eastAsia" w:ascii="彩虹粗仿宋" w:eastAsia="彩虹粗仿宋"/>
          <w:sz w:val="32"/>
          <w:szCs w:val="32"/>
        </w:rPr>
        <w:t>为更好地提供理财服务，建信理财</w:t>
      </w:r>
      <w:r>
        <w:rPr>
          <w:rFonts w:hint="eastAsia" w:ascii="彩虹粗仿宋" w:eastAsia="彩虹粗仿宋"/>
          <w:sz w:val="32"/>
          <w:szCs w:val="32"/>
          <w:lang w:val="en-US" w:eastAsia="zh-CN"/>
        </w:rPr>
        <w:t>部分开放式产品</w:t>
      </w:r>
      <w:r>
        <w:rPr>
          <w:rFonts w:hint="eastAsia" w:ascii="彩虹粗仿宋" w:eastAsia="彩虹粗仿宋"/>
          <w:sz w:val="32"/>
          <w:szCs w:val="32"/>
        </w:rPr>
        <w:t>将于</w:t>
      </w:r>
      <w:r>
        <w:rPr>
          <w:rFonts w:ascii="彩虹粗仿宋" w:eastAsia="彩虹粗仿宋"/>
          <w:sz w:val="32"/>
          <w:szCs w:val="32"/>
        </w:rPr>
        <w:t>202</w:t>
      </w:r>
      <w:r>
        <w:rPr>
          <w:rFonts w:hint="eastAsia" w:ascii="彩虹粗仿宋" w:eastAsia="彩虹粗仿宋"/>
          <w:sz w:val="32"/>
          <w:szCs w:val="32"/>
          <w:lang w:val="en-US" w:eastAsia="zh-CN"/>
        </w:rPr>
        <w:t>5</w:t>
      </w:r>
      <w:r>
        <w:rPr>
          <w:rFonts w:hint="eastAsia" w:ascii="彩虹粗仿宋" w:eastAsia="彩虹粗仿宋"/>
          <w:sz w:val="32"/>
          <w:szCs w:val="32"/>
        </w:rPr>
        <w:t>年</w:t>
      </w:r>
      <w:r>
        <w:rPr>
          <w:rFonts w:hint="eastAsia" w:ascii="彩虹粗仿宋" w:eastAsia="彩虹粗仿宋"/>
          <w:sz w:val="32"/>
          <w:szCs w:val="32"/>
          <w:lang w:val="en-US" w:eastAsia="zh-CN"/>
        </w:rPr>
        <w:t>12</w:t>
      </w:r>
      <w:r>
        <w:rPr>
          <w:rFonts w:hint="eastAsia" w:ascii="彩虹粗仿宋" w:eastAsia="彩虹粗仿宋"/>
          <w:sz w:val="32"/>
          <w:szCs w:val="32"/>
        </w:rPr>
        <w:t>月</w:t>
      </w:r>
      <w:r>
        <w:rPr>
          <w:rFonts w:hint="eastAsia" w:ascii="彩虹粗仿宋" w:eastAsia="彩虹粗仿宋"/>
          <w:sz w:val="32"/>
          <w:szCs w:val="32"/>
          <w:lang w:val="en-US" w:eastAsia="zh-CN"/>
        </w:rPr>
        <w:t>2</w:t>
      </w:r>
      <w:bookmarkStart w:id="0" w:name="_GoBack"/>
      <w:bookmarkEnd w:id="0"/>
      <w:r>
        <w:rPr>
          <w:rFonts w:hint="eastAsia" w:ascii="彩虹粗仿宋" w:eastAsia="彩虹粗仿宋"/>
          <w:sz w:val="32"/>
          <w:szCs w:val="32"/>
        </w:rPr>
        <w:t>日</w:t>
      </w:r>
      <w:r>
        <w:rPr>
          <w:rFonts w:hint="eastAsia" w:ascii="彩虹粗仿宋" w:eastAsia="彩虹粗仿宋"/>
          <w:sz w:val="32"/>
          <w:szCs w:val="32"/>
          <w:lang w:val="en-US" w:eastAsia="zh-CN"/>
        </w:rPr>
        <w:t>起取消单日净申购份额（单日累计申购总份额-单日累计赎回总份额）的限制</w:t>
      </w:r>
      <w:r>
        <w:rPr>
          <w:rFonts w:hint="eastAsia" w:ascii="彩虹粗仿宋" w:eastAsia="彩虹粗仿宋"/>
          <w:sz w:val="32"/>
          <w:szCs w:val="32"/>
        </w:rPr>
        <w:t>。具体如下：</w:t>
      </w:r>
    </w:p>
    <w:tbl>
      <w:tblPr>
        <w:tblStyle w:val="8"/>
        <w:tblpPr w:leftFromText="180" w:rightFromText="180" w:vertAnchor="text" w:horzAnchor="page" w:tblpXSpec="center" w:tblpY="479"/>
        <w:tblOverlap w:val="never"/>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2"/>
        <w:gridCol w:w="2085"/>
        <w:gridCol w:w="1710"/>
        <w:gridCol w:w="1365"/>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862" w:type="dxa"/>
            <w:vAlign w:val="center"/>
          </w:tcPr>
          <w:p>
            <w:pPr>
              <w:spacing w:line="240" w:lineRule="auto"/>
              <w:jc w:val="center"/>
              <w:rPr>
                <w:rFonts w:hint="eastAsia" w:ascii="彩虹粗仿宋" w:eastAsia="彩虹粗仿宋"/>
                <w:b/>
                <w:bCs/>
                <w:sz w:val="21"/>
                <w:szCs w:val="21"/>
                <w:vertAlign w:val="baseline"/>
                <w:lang w:val="en-US" w:eastAsia="zh-CN"/>
              </w:rPr>
            </w:pPr>
            <w:r>
              <w:rPr>
                <w:rFonts w:hint="eastAsia" w:ascii="彩虹粗仿宋" w:eastAsia="彩虹粗仿宋"/>
                <w:b/>
                <w:bCs/>
                <w:sz w:val="21"/>
                <w:szCs w:val="21"/>
                <w:vertAlign w:val="baseline"/>
                <w:lang w:val="en-US" w:eastAsia="zh-CN"/>
              </w:rPr>
              <w:t>名称</w:t>
            </w:r>
          </w:p>
        </w:tc>
        <w:tc>
          <w:tcPr>
            <w:tcW w:w="2085" w:type="dxa"/>
            <w:vAlign w:val="center"/>
          </w:tcPr>
          <w:p>
            <w:pPr>
              <w:spacing w:line="240" w:lineRule="auto"/>
              <w:jc w:val="center"/>
              <w:rPr>
                <w:rFonts w:hint="default" w:ascii="彩虹粗仿宋" w:eastAsia="彩虹粗仿宋"/>
                <w:b/>
                <w:bCs/>
                <w:sz w:val="21"/>
                <w:szCs w:val="21"/>
                <w:vertAlign w:val="baseline"/>
                <w:lang w:val="en-US" w:eastAsia="zh-CN"/>
              </w:rPr>
            </w:pPr>
            <w:r>
              <w:rPr>
                <w:rFonts w:hint="eastAsia" w:ascii="彩虹粗仿宋" w:eastAsia="彩虹粗仿宋"/>
                <w:b/>
                <w:bCs/>
                <w:sz w:val="21"/>
                <w:szCs w:val="21"/>
                <w:vertAlign w:val="baseline"/>
                <w:lang w:val="en-US" w:eastAsia="zh-CN"/>
              </w:rPr>
              <w:t>产品编码</w:t>
            </w:r>
          </w:p>
        </w:tc>
        <w:tc>
          <w:tcPr>
            <w:tcW w:w="1710" w:type="dxa"/>
            <w:vAlign w:val="center"/>
          </w:tcPr>
          <w:p>
            <w:pPr>
              <w:spacing w:line="240" w:lineRule="auto"/>
              <w:jc w:val="center"/>
              <w:rPr>
                <w:rFonts w:hint="eastAsia" w:ascii="彩虹粗仿宋" w:eastAsia="彩虹粗仿宋"/>
                <w:b/>
                <w:bCs/>
                <w:sz w:val="21"/>
                <w:szCs w:val="21"/>
                <w:vertAlign w:val="baseline"/>
                <w:lang w:val="en-US" w:eastAsia="zh-CN"/>
              </w:rPr>
            </w:pPr>
            <w:r>
              <w:rPr>
                <w:rFonts w:hint="eastAsia" w:ascii="彩虹粗仿宋" w:eastAsia="彩虹粗仿宋"/>
                <w:b/>
                <w:bCs/>
                <w:sz w:val="21"/>
                <w:szCs w:val="21"/>
                <w:vertAlign w:val="baseline"/>
                <w:lang w:val="en-US" w:eastAsia="zh-CN"/>
              </w:rPr>
              <w:t>全国银行业理财信息登记系统编码</w:t>
            </w:r>
          </w:p>
        </w:tc>
        <w:tc>
          <w:tcPr>
            <w:tcW w:w="1365" w:type="dxa"/>
            <w:vAlign w:val="center"/>
          </w:tcPr>
          <w:p>
            <w:pPr>
              <w:spacing w:line="240" w:lineRule="auto"/>
              <w:jc w:val="center"/>
              <w:rPr>
                <w:rFonts w:hint="default" w:ascii="彩虹粗仿宋" w:eastAsia="彩虹粗仿宋"/>
                <w:b/>
                <w:bCs/>
                <w:sz w:val="21"/>
                <w:szCs w:val="21"/>
                <w:vertAlign w:val="baseline"/>
                <w:lang w:val="en-US" w:eastAsia="zh-CN"/>
              </w:rPr>
            </w:pPr>
            <w:r>
              <w:rPr>
                <w:rFonts w:hint="default" w:ascii="彩虹粗仿宋" w:eastAsia="彩虹粗仿宋"/>
                <w:b/>
                <w:bCs/>
                <w:sz w:val="21"/>
                <w:szCs w:val="21"/>
                <w:vertAlign w:val="baseline"/>
                <w:lang w:val="en-US" w:eastAsia="zh-CN"/>
              </w:rPr>
              <w:t>单日净申购份额限制</w:t>
            </w:r>
            <w:r>
              <w:rPr>
                <w:rFonts w:hint="eastAsia" w:ascii="彩虹粗仿宋" w:eastAsia="彩虹粗仿宋"/>
                <w:b/>
                <w:bCs/>
                <w:sz w:val="21"/>
                <w:szCs w:val="21"/>
                <w:vertAlign w:val="baseline"/>
                <w:lang w:val="en-US" w:eastAsia="zh-CN"/>
              </w:rPr>
              <w:t>（调整前）</w:t>
            </w:r>
          </w:p>
        </w:tc>
        <w:tc>
          <w:tcPr>
            <w:tcW w:w="1315" w:type="dxa"/>
            <w:vAlign w:val="center"/>
          </w:tcPr>
          <w:p>
            <w:pPr>
              <w:spacing w:line="240" w:lineRule="auto"/>
              <w:jc w:val="center"/>
              <w:rPr>
                <w:rFonts w:hint="default" w:ascii="彩虹粗仿宋" w:eastAsia="彩虹粗仿宋"/>
                <w:b/>
                <w:bCs/>
                <w:sz w:val="21"/>
                <w:szCs w:val="21"/>
                <w:vertAlign w:val="baseline"/>
                <w:lang w:val="en-US" w:eastAsia="zh-CN"/>
              </w:rPr>
            </w:pPr>
            <w:r>
              <w:rPr>
                <w:rFonts w:hint="default" w:ascii="彩虹粗仿宋" w:eastAsia="彩虹粗仿宋"/>
                <w:b/>
                <w:bCs/>
                <w:sz w:val="21"/>
                <w:szCs w:val="21"/>
                <w:vertAlign w:val="baseline"/>
                <w:lang w:val="en-US" w:eastAsia="zh-CN"/>
              </w:rPr>
              <w:t>单日净申购份额限制（调整</w:t>
            </w:r>
            <w:r>
              <w:rPr>
                <w:rFonts w:hint="eastAsia" w:ascii="彩虹粗仿宋" w:eastAsia="彩虹粗仿宋"/>
                <w:b/>
                <w:bCs/>
                <w:sz w:val="21"/>
                <w:szCs w:val="21"/>
                <w:vertAlign w:val="baseline"/>
                <w:lang w:val="en-US" w:eastAsia="zh-CN"/>
              </w:rPr>
              <w:t>后</w:t>
            </w:r>
            <w:r>
              <w:rPr>
                <w:rFonts w:hint="default" w:ascii="彩虹粗仿宋" w:eastAsia="彩虹粗仿宋"/>
                <w:b/>
                <w:bCs/>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862" w:type="dxa"/>
            <w:vAlign w:val="center"/>
          </w:tcPr>
          <w:p>
            <w:pPr>
              <w:spacing w:line="240" w:lineRule="auto"/>
              <w:jc w:val="center"/>
              <w:rPr>
                <w:rFonts w:hint="default" w:ascii="彩虹粗仿宋" w:eastAsia="彩虹粗仿宋"/>
                <w:sz w:val="21"/>
                <w:szCs w:val="21"/>
                <w:vertAlign w:val="baseline"/>
                <w:lang w:val="en-US" w:eastAsia="zh-CN"/>
              </w:rPr>
            </w:pPr>
            <w:r>
              <w:rPr>
                <w:rFonts w:hint="default" w:ascii="彩虹粗仿宋" w:eastAsia="彩虹粗仿宋"/>
                <w:sz w:val="21"/>
                <w:szCs w:val="21"/>
                <w:vertAlign w:val="baseline"/>
                <w:lang w:val="en-US" w:eastAsia="zh-CN"/>
              </w:rPr>
              <w:t>建信理财嘉鑫（稳利）固收类最低持有14天产品第12期</w:t>
            </w:r>
          </w:p>
        </w:tc>
        <w:tc>
          <w:tcPr>
            <w:tcW w:w="2085" w:type="dxa"/>
            <w:vAlign w:val="center"/>
          </w:tcPr>
          <w:p>
            <w:pPr>
              <w:spacing w:line="240" w:lineRule="auto"/>
              <w:jc w:val="center"/>
              <w:rPr>
                <w:rFonts w:hint="default" w:ascii="彩虹粗仿宋" w:eastAsia="彩虹粗仿宋"/>
                <w:sz w:val="21"/>
                <w:szCs w:val="21"/>
                <w:vertAlign w:val="baseline"/>
                <w:lang w:val="en-US" w:eastAsia="zh-CN"/>
              </w:rPr>
            </w:pPr>
            <w:r>
              <w:rPr>
                <w:rFonts w:hint="default" w:ascii="彩虹粗仿宋" w:eastAsia="彩虹粗仿宋"/>
                <w:sz w:val="21"/>
                <w:szCs w:val="21"/>
                <w:vertAlign w:val="baseline"/>
                <w:lang w:val="en-US" w:eastAsia="zh-CN"/>
              </w:rPr>
              <w:t>JXJXZDCY140616012</w:t>
            </w:r>
          </w:p>
        </w:tc>
        <w:tc>
          <w:tcPr>
            <w:tcW w:w="1710" w:type="dxa"/>
            <w:vAlign w:val="center"/>
          </w:tcPr>
          <w:p>
            <w:pPr>
              <w:spacing w:line="240" w:lineRule="auto"/>
              <w:jc w:val="center"/>
              <w:rPr>
                <w:rFonts w:hint="default" w:ascii="彩虹粗仿宋" w:eastAsia="彩虹粗仿宋"/>
                <w:sz w:val="21"/>
                <w:szCs w:val="21"/>
                <w:vertAlign w:val="baseline"/>
                <w:lang w:val="en-US" w:eastAsia="zh-CN"/>
              </w:rPr>
            </w:pPr>
            <w:r>
              <w:rPr>
                <w:rFonts w:hint="default" w:ascii="彩虹粗仿宋" w:eastAsia="彩虹粗仿宋"/>
                <w:sz w:val="21"/>
                <w:szCs w:val="21"/>
                <w:vertAlign w:val="baseline"/>
                <w:lang w:val="en-US" w:eastAsia="zh-CN"/>
              </w:rPr>
              <w:t>Z7000725000594</w:t>
            </w:r>
          </w:p>
        </w:tc>
        <w:tc>
          <w:tcPr>
            <w:tcW w:w="1365" w:type="dxa"/>
            <w:vAlign w:val="center"/>
          </w:tcPr>
          <w:p>
            <w:pPr>
              <w:spacing w:line="240" w:lineRule="auto"/>
              <w:jc w:val="center"/>
              <w:rPr>
                <w:rFonts w:hint="default" w:ascii="彩虹粗仿宋" w:eastAsia="彩虹粗仿宋"/>
                <w:sz w:val="21"/>
                <w:szCs w:val="21"/>
                <w:vertAlign w:val="baseline"/>
                <w:lang w:val="en-US" w:eastAsia="zh-CN"/>
              </w:rPr>
            </w:pPr>
            <w:r>
              <w:rPr>
                <w:rFonts w:hint="default" w:ascii="彩虹粗仿宋" w:eastAsia="彩虹粗仿宋"/>
                <w:sz w:val="21"/>
                <w:szCs w:val="21"/>
                <w:vertAlign w:val="baseline"/>
                <w:lang w:val="en-US" w:eastAsia="zh-CN"/>
              </w:rPr>
              <w:t>A份额：不超过400万份</w:t>
            </w:r>
          </w:p>
          <w:p>
            <w:pPr>
              <w:spacing w:line="240" w:lineRule="auto"/>
              <w:jc w:val="center"/>
              <w:rPr>
                <w:rFonts w:hint="default" w:ascii="彩虹粗仿宋" w:eastAsia="彩虹粗仿宋"/>
                <w:sz w:val="21"/>
                <w:szCs w:val="21"/>
                <w:vertAlign w:val="baseline"/>
                <w:lang w:val="en-US" w:eastAsia="zh-CN"/>
              </w:rPr>
            </w:pPr>
            <w:r>
              <w:rPr>
                <w:rFonts w:hint="default" w:ascii="彩虹粗仿宋" w:eastAsia="彩虹粗仿宋"/>
                <w:sz w:val="21"/>
                <w:szCs w:val="21"/>
                <w:vertAlign w:val="baseline"/>
                <w:lang w:val="en-US" w:eastAsia="zh-CN"/>
              </w:rPr>
              <w:t xml:space="preserve">B份额：不超过100万份 </w:t>
            </w:r>
          </w:p>
        </w:tc>
        <w:tc>
          <w:tcPr>
            <w:tcW w:w="1315" w:type="dxa"/>
            <w:vAlign w:val="center"/>
          </w:tcPr>
          <w:p>
            <w:pPr>
              <w:spacing w:line="240" w:lineRule="auto"/>
              <w:jc w:val="center"/>
              <w:rPr>
                <w:rFonts w:hint="eastAsia" w:ascii="彩虹粗仿宋" w:eastAsia="彩虹粗仿宋"/>
                <w:sz w:val="21"/>
                <w:szCs w:val="21"/>
                <w:vertAlign w:val="baseline"/>
                <w:lang w:val="en-US" w:eastAsia="zh-CN"/>
              </w:rPr>
            </w:pPr>
            <w:r>
              <w:rPr>
                <w:rFonts w:hint="eastAsia" w:ascii="彩虹粗仿宋" w:eastAsia="彩虹粗仿宋"/>
                <w:sz w:val="21"/>
                <w:szCs w:val="21"/>
                <w:vertAlign w:val="baseline"/>
                <w:lang w:val="en-US" w:eastAsia="zh-CN"/>
              </w:rPr>
              <w:t>无限制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2862" w:type="dxa"/>
            <w:vAlign w:val="center"/>
          </w:tcPr>
          <w:p>
            <w:pPr>
              <w:spacing w:line="240" w:lineRule="auto"/>
              <w:jc w:val="center"/>
              <w:rPr>
                <w:rFonts w:hint="default" w:ascii="彩虹粗仿宋" w:eastAsia="彩虹粗仿宋"/>
                <w:sz w:val="21"/>
                <w:szCs w:val="21"/>
                <w:vertAlign w:val="baseline"/>
                <w:lang w:val="en-US" w:eastAsia="zh-CN"/>
              </w:rPr>
            </w:pPr>
            <w:r>
              <w:rPr>
                <w:rFonts w:hint="default" w:ascii="彩虹粗仿宋" w:eastAsia="彩虹粗仿宋"/>
                <w:sz w:val="21"/>
                <w:szCs w:val="21"/>
                <w:vertAlign w:val="baseline"/>
                <w:lang w:val="en-US" w:eastAsia="zh-CN"/>
              </w:rPr>
              <w:t>建信理财嘉鑫（稳利）固收类最低持有21天产品第8期</w:t>
            </w:r>
          </w:p>
        </w:tc>
        <w:tc>
          <w:tcPr>
            <w:tcW w:w="2085" w:type="dxa"/>
            <w:vAlign w:val="center"/>
          </w:tcPr>
          <w:p>
            <w:pPr>
              <w:spacing w:line="240" w:lineRule="auto"/>
              <w:jc w:val="center"/>
              <w:rPr>
                <w:rFonts w:hint="default" w:ascii="彩虹粗仿宋" w:eastAsia="彩虹粗仿宋"/>
                <w:sz w:val="21"/>
                <w:szCs w:val="21"/>
                <w:vertAlign w:val="baseline"/>
                <w:lang w:val="en-US" w:eastAsia="zh-CN"/>
              </w:rPr>
            </w:pPr>
            <w:r>
              <w:rPr>
                <w:rFonts w:hint="default" w:ascii="彩虹粗仿宋" w:eastAsia="彩虹粗仿宋"/>
                <w:sz w:val="21"/>
                <w:szCs w:val="21"/>
                <w:vertAlign w:val="baseline"/>
                <w:lang w:val="en-US" w:eastAsia="zh-CN"/>
              </w:rPr>
              <w:t>JXJXZDCY210616008</w:t>
            </w:r>
          </w:p>
        </w:tc>
        <w:tc>
          <w:tcPr>
            <w:tcW w:w="1710" w:type="dxa"/>
            <w:vAlign w:val="center"/>
          </w:tcPr>
          <w:p>
            <w:pPr>
              <w:spacing w:line="240" w:lineRule="auto"/>
              <w:jc w:val="center"/>
              <w:rPr>
                <w:rFonts w:hint="default" w:ascii="彩虹粗仿宋" w:eastAsia="彩虹粗仿宋"/>
                <w:sz w:val="21"/>
                <w:szCs w:val="21"/>
                <w:vertAlign w:val="baseline"/>
                <w:lang w:val="en-US" w:eastAsia="zh-CN"/>
              </w:rPr>
            </w:pPr>
            <w:r>
              <w:rPr>
                <w:rFonts w:hint="default" w:ascii="彩虹粗仿宋" w:eastAsia="彩虹粗仿宋"/>
                <w:sz w:val="21"/>
                <w:szCs w:val="21"/>
                <w:vertAlign w:val="baseline"/>
                <w:lang w:val="en-US" w:eastAsia="zh-CN"/>
              </w:rPr>
              <w:t>Z7000725000602</w:t>
            </w:r>
          </w:p>
        </w:tc>
        <w:tc>
          <w:tcPr>
            <w:tcW w:w="1365" w:type="dxa"/>
            <w:vAlign w:val="center"/>
          </w:tcPr>
          <w:p>
            <w:pPr>
              <w:spacing w:line="240" w:lineRule="auto"/>
              <w:jc w:val="center"/>
              <w:rPr>
                <w:rFonts w:hint="eastAsia" w:ascii="彩虹粗仿宋" w:eastAsia="彩虹粗仿宋"/>
                <w:sz w:val="21"/>
                <w:szCs w:val="21"/>
                <w:vertAlign w:val="baseline"/>
                <w:lang w:val="en-US" w:eastAsia="zh-CN"/>
              </w:rPr>
            </w:pPr>
            <w:r>
              <w:rPr>
                <w:rFonts w:hint="eastAsia" w:ascii="彩虹粗仿宋" w:eastAsia="彩虹粗仿宋"/>
                <w:sz w:val="21"/>
                <w:szCs w:val="21"/>
                <w:vertAlign w:val="baseline"/>
                <w:lang w:val="en-US" w:eastAsia="zh-CN"/>
              </w:rPr>
              <w:t>A份额：不超过400万份</w:t>
            </w:r>
          </w:p>
          <w:p>
            <w:pPr>
              <w:spacing w:line="240" w:lineRule="auto"/>
              <w:jc w:val="center"/>
              <w:rPr>
                <w:rFonts w:hint="eastAsia" w:ascii="彩虹粗仿宋" w:eastAsia="彩虹粗仿宋"/>
                <w:sz w:val="21"/>
                <w:szCs w:val="21"/>
                <w:vertAlign w:val="baseline"/>
                <w:lang w:val="en-US" w:eastAsia="zh-CN"/>
              </w:rPr>
            </w:pPr>
            <w:r>
              <w:rPr>
                <w:rFonts w:hint="eastAsia" w:ascii="彩虹粗仿宋" w:eastAsia="彩虹粗仿宋"/>
                <w:sz w:val="21"/>
                <w:szCs w:val="21"/>
                <w:vertAlign w:val="baseline"/>
                <w:lang w:val="en-US" w:eastAsia="zh-CN"/>
              </w:rPr>
              <w:t xml:space="preserve">B份额：不超过100万份 </w:t>
            </w:r>
          </w:p>
        </w:tc>
        <w:tc>
          <w:tcPr>
            <w:tcW w:w="1315" w:type="dxa"/>
            <w:vAlign w:val="center"/>
          </w:tcPr>
          <w:p>
            <w:pPr>
              <w:spacing w:line="240" w:lineRule="auto"/>
              <w:jc w:val="center"/>
              <w:rPr>
                <w:rFonts w:hint="eastAsia" w:ascii="彩虹粗仿宋" w:eastAsia="彩虹粗仿宋"/>
                <w:sz w:val="21"/>
                <w:szCs w:val="21"/>
                <w:vertAlign w:val="baseline"/>
                <w:lang w:val="en-US" w:eastAsia="zh-CN"/>
              </w:rPr>
            </w:pPr>
            <w:r>
              <w:rPr>
                <w:rFonts w:hint="eastAsia" w:ascii="彩虹粗仿宋" w:eastAsia="彩虹粗仿宋"/>
                <w:sz w:val="21"/>
                <w:szCs w:val="21"/>
                <w:vertAlign w:val="baseline"/>
                <w:lang w:val="en-US" w:eastAsia="zh-CN"/>
              </w:rPr>
              <w:t>无限制</w:t>
            </w:r>
          </w:p>
        </w:tc>
      </w:tr>
    </w:tbl>
    <w:p>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建信理财有限责任公司将本着勤勉尽职的原则持续为您提供专业化理财服务。</w:t>
      </w:r>
    </w:p>
    <w:p>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特此公告。</w:t>
      </w:r>
    </w:p>
    <w:p>
      <w:pPr>
        <w:spacing w:line="560" w:lineRule="exact"/>
        <w:ind w:firstLine="640" w:firstLineChars="200"/>
        <w:rPr>
          <w:rFonts w:ascii="彩虹粗仿宋" w:eastAsia="彩虹粗仿宋"/>
          <w:sz w:val="32"/>
          <w:szCs w:val="32"/>
        </w:rPr>
      </w:pPr>
    </w:p>
    <w:p>
      <w:pPr>
        <w:spacing w:line="560" w:lineRule="exact"/>
        <w:ind w:firstLine="640" w:firstLineChars="200"/>
        <w:rPr>
          <w:rFonts w:ascii="彩虹粗仿宋" w:eastAsia="彩虹粗仿宋"/>
          <w:sz w:val="32"/>
          <w:szCs w:val="32"/>
        </w:rPr>
      </w:pPr>
    </w:p>
    <w:p>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5</w:t>
      </w:r>
      <w:r>
        <w:rPr>
          <w:rFonts w:hint="eastAsia" w:ascii="彩虹粗仿宋" w:eastAsia="彩虹粗仿宋"/>
          <w:sz w:val="32"/>
          <w:szCs w:val="32"/>
        </w:rPr>
        <w:t>年</w:t>
      </w:r>
      <w:r>
        <w:rPr>
          <w:rFonts w:hint="eastAsia" w:ascii="彩虹粗仿宋" w:eastAsia="彩虹粗仿宋"/>
          <w:sz w:val="32"/>
          <w:szCs w:val="32"/>
          <w:lang w:val="en-US" w:eastAsia="zh-CN"/>
        </w:rPr>
        <w:t>12</w:t>
      </w:r>
      <w:r>
        <w:rPr>
          <w:rFonts w:hint="eastAsia" w:ascii="彩虹粗仿宋" w:eastAsia="彩虹粗仿宋"/>
          <w:sz w:val="32"/>
          <w:szCs w:val="32"/>
        </w:rPr>
        <w:t>月</w:t>
      </w:r>
      <w:r>
        <w:rPr>
          <w:rFonts w:hint="eastAsia" w:ascii="彩虹粗仿宋" w:eastAsia="彩虹粗仿宋"/>
          <w:sz w:val="32"/>
          <w:szCs w:val="32"/>
          <w:lang w:val="en-US" w:eastAsia="zh-CN"/>
        </w:rPr>
        <w:t>1</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C5294"/>
    <w:rsid w:val="003D7CFA"/>
    <w:rsid w:val="004B40CC"/>
    <w:rsid w:val="004C0C5D"/>
    <w:rsid w:val="00505B5C"/>
    <w:rsid w:val="00586B28"/>
    <w:rsid w:val="005A0F9C"/>
    <w:rsid w:val="005F5AE8"/>
    <w:rsid w:val="005F6936"/>
    <w:rsid w:val="0064427A"/>
    <w:rsid w:val="006548A0"/>
    <w:rsid w:val="00654A55"/>
    <w:rsid w:val="0066655D"/>
    <w:rsid w:val="006674CF"/>
    <w:rsid w:val="0067161F"/>
    <w:rsid w:val="0068278D"/>
    <w:rsid w:val="006912E0"/>
    <w:rsid w:val="006A63AD"/>
    <w:rsid w:val="00760000"/>
    <w:rsid w:val="0076079D"/>
    <w:rsid w:val="00792813"/>
    <w:rsid w:val="007C0139"/>
    <w:rsid w:val="007C1916"/>
    <w:rsid w:val="007C33BC"/>
    <w:rsid w:val="007C3955"/>
    <w:rsid w:val="007F34E4"/>
    <w:rsid w:val="00811669"/>
    <w:rsid w:val="008852F8"/>
    <w:rsid w:val="008B2407"/>
    <w:rsid w:val="008C5E52"/>
    <w:rsid w:val="008F7202"/>
    <w:rsid w:val="00905D50"/>
    <w:rsid w:val="009101AB"/>
    <w:rsid w:val="009206C0"/>
    <w:rsid w:val="009704A5"/>
    <w:rsid w:val="009B037B"/>
    <w:rsid w:val="00A27E25"/>
    <w:rsid w:val="00A412B1"/>
    <w:rsid w:val="00A506CC"/>
    <w:rsid w:val="00A60679"/>
    <w:rsid w:val="00A84031"/>
    <w:rsid w:val="00B8546A"/>
    <w:rsid w:val="00BA47A7"/>
    <w:rsid w:val="00BD576B"/>
    <w:rsid w:val="00C034CF"/>
    <w:rsid w:val="00C21A9A"/>
    <w:rsid w:val="00C406D4"/>
    <w:rsid w:val="00C504AE"/>
    <w:rsid w:val="00CE5F95"/>
    <w:rsid w:val="00D15B3B"/>
    <w:rsid w:val="00D74827"/>
    <w:rsid w:val="00D806D9"/>
    <w:rsid w:val="00DB6005"/>
    <w:rsid w:val="00DD228E"/>
    <w:rsid w:val="00E33E2A"/>
    <w:rsid w:val="00E64DEE"/>
    <w:rsid w:val="00E846D8"/>
    <w:rsid w:val="00E9072F"/>
    <w:rsid w:val="00EA6AD7"/>
    <w:rsid w:val="00EC5809"/>
    <w:rsid w:val="00F31745"/>
    <w:rsid w:val="00F336DE"/>
    <w:rsid w:val="00F73D21"/>
    <w:rsid w:val="00FB504D"/>
    <w:rsid w:val="07C36B9E"/>
    <w:rsid w:val="0B692294"/>
    <w:rsid w:val="0DE4769D"/>
    <w:rsid w:val="193C4C87"/>
    <w:rsid w:val="19D8550B"/>
    <w:rsid w:val="1E5C58CD"/>
    <w:rsid w:val="1FAD1145"/>
    <w:rsid w:val="25A32D1B"/>
    <w:rsid w:val="33FE2356"/>
    <w:rsid w:val="35C843A0"/>
    <w:rsid w:val="378709BB"/>
    <w:rsid w:val="398137B6"/>
    <w:rsid w:val="51661225"/>
    <w:rsid w:val="56184360"/>
    <w:rsid w:val="5D7819E8"/>
    <w:rsid w:val="6563093F"/>
    <w:rsid w:val="67A35B67"/>
    <w:rsid w:val="69C7466E"/>
    <w:rsid w:val="79004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302</Words>
  <Characters>343</Characters>
  <Lines>1</Lines>
  <Paragraphs>1</Paragraphs>
  <TotalTime>6</TotalTime>
  <ScaleCrop>false</ScaleCrop>
  <LinksUpToDate>false</LinksUpToDate>
  <CharactersWithSpaces>370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2025-12-01T07:05:23Z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59512950C100416F9243788973EDE1BE_13</vt:lpwstr>
  </property>
</Properties>
</file>