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99E52">
      <w:pPr>
        <w:jc w:val="center"/>
        <w:rPr>
          <w:rFonts w:hint="eastAsia" w:ascii="彩虹小标宋" w:eastAsia="彩虹小标宋"/>
          <w:sz w:val="44"/>
          <w:szCs w:val="44"/>
          <w:lang w:val="en-US" w:eastAsia="zh-CN"/>
        </w:rPr>
      </w:pPr>
      <w:bookmarkStart w:id="0" w:name="_GoBack"/>
      <w:r>
        <w:rPr>
          <w:rFonts w:hint="eastAsia" w:ascii="彩虹小标宋" w:eastAsia="彩虹小标宋"/>
          <w:sz w:val="44"/>
          <w:szCs w:val="44"/>
        </w:rPr>
        <w:t>关于</w:t>
      </w:r>
      <w:r>
        <w:rPr>
          <w:rFonts w:hint="eastAsia" w:ascii="彩虹小标宋" w:eastAsia="彩虹小标宋"/>
          <w:sz w:val="44"/>
          <w:szCs w:val="44"/>
          <w:lang w:val="en-US" w:eastAsia="zh-CN"/>
        </w:rPr>
        <w:t>建信理财嘉鑫（稳利）法人版固收类按日开放式产品第119期产品上限和单客持仓</w:t>
      </w:r>
      <w:r>
        <w:rPr>
          <w:rFonts w:hint="eastAsia" w:ascii="彩虹小标宋" w:eastAsia="彩虹小标宋"/>
          <w:sz w:val="44"/>
          <w:szCs w:val="44"/>
        </w:rPr>
        <w:t>限制的公告</w:t>
      </w:r>
      <w:r>
        <w:rPr>
          <w:rFonts w:hint="eastAsia" w:ascii="彩虹小标宋" w:eastAsia="彩虹小标宋"/>
          <w:sz w:val="44"/>
          <w:szCs w:val="44"/>
          <w:lang w:val="en-US" w:eastAsia="zh-CN"/>
        </w:rPr>
        <w:t>-JXJXARGS251015119</w:t>
      </w:r>
    </w:p>
    <w:bookmarkEnd w:id="0"/>
    <w:p w14:paraId="6BC5BED5">
      <w:pPr>
        <w:spacing w:line="560" w:lineRule="exact"/>
        <w:rPr>
          <w:rFonts w:ascii="彩虹粗仿宋" w:eastAsia="彩虹粗仿宋"/>
          <w:sz w:val="32"/>
          <w:szCs w:val="32"/>
        </w:rPr>
      </w:pPr>
    </w:p>
    <w:p w14:paraId="17889B32">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14:paraId="3998F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eastAsia="彩虹粗仿宋"/>
          <w:sz w:val="32"/>
          <w:szCs w:val="32"/>
          <w:lang w:val="en-US" w:eastAsia="zh-CN"/>
        </w:rPr>
      </w:pPr>
      <w:r>
        <w:rPr>
          <w:rFonts w:hint="eastAsia" w:ascii="彩虹粗仿宋" w:eastAsia="彩虹粗仿宋"/>
          <w:sz w:val="32"/>
          <w:szCs w:val="32"/>
        </w:rPr>
        <w:t>为更好地提供理财服务，建信理财嘉鑫（稳利）法人版固收类按日开放式产品第119期（全国银行业理财信息登记系统编码：Z7000725001326）将于</w:t>
      </w:r>
      <w:r>
        <w:rPr>
          <w:rFonts w:ascii="彩虹粗仿宋" w:eastAsia="彩虹粗仿宋"/>
          <w:sz w:val="32"/>
          <w:szCs w:val="32"/>
        </w:rPr>
        <w:t>202</w:t>
      </w:r>
      <w:r>
        <w:rPr>
          <w:rFonts w:hint="eastAsia" w:ascii="彩虹粗仿宋" w:eastAsia="彩虹粗仿宋"/>
          <w:sz w:val="32"/>
          <w:szCs w:val="32"/>
          <w:lang w:val="en-US" w:eastAsia="zh-CN"/>
        </w:rPr>
        <w:t>5</w:t>
      </w:r>
      <w:r>
        <w:rPr>
          <w:rFonts w:hint="eastAsia" w:ascii="彩虹粗仿宋" w:eastAsia="彩虹粗仿宋"/>
          <w:sz w:val="32"/>
          <w:szCs w:val="32"/>
        </w:rPr>
        <w:t>年</w:t>
      </w:r>
      <w:r>
        <w:rPr>
          <w:rFonts w:hint="eastAsia" w:ascii="彩虹粗仿宋" w:eastAsia="彩虹粗仿宋"/>
          <w:sz w:val="32"/>
          <w:szCs w:val="32"/>
          <w:lang w:val="en-US" w:eastAsia="zh-CN"/>
        </w:rPr>
        <w:t>12</w:t>
      </w:r>
      <w:r>
        <w:rPr>
          <w:rFonts w:hint="eastAsia" w:ascii="彩虹粗仿宋" w:eastAsia="彩虹粗仿宋"/>
          <w:sz w:val="32"/>
          <w:szCs w:val="32"/>
        </w:rPr>
        <w:t>月</w:t>
      </w:r>
      <w:r>
        <w:rPr>
          <w:rFonts w:hint="eastAsia" w:ascii="彩虹粗仿宋" w:eastAsia="彩虹粗仿宋"/>
          <w:sz w:val="32"/>
          <w:szCs w:val="32"/>
          <w:lang w:val="en-US" w:eastAsia="zh-CN"/>
        </w:rPr>
        <w:t>4</w:t>
      </w:r>
      <w:r>
        <w:rPr>
          <w:rFonts w:hint="eastAsia" w:ascii="彩虹粗仿宋" w:eastAsia="彩虹粗仿宋"/>
          <w:sz w:val="32"/>
          <w:szCs w:val="32"/>
        </w:rPr>
        <w:t>日</w:t>
      </w:r>
      <w:r>
        <w:rPr>
          <w:rFonts w:hint="eastAsia" w:ascii="彩虹粗仿宋" w:eastAsia="彩虹粗仿宋"/>
          <w:sz w:val="32"/>
          <w:szCs w:val="32"/>
          <w:lang w:val="en-US" w:eastAsia="zh-CN"/>
        </w:rPr>
        <w:t>起对产品上限和</w:t>
      </w:r>
      <w:r>
        <w:rPr>
          <w:rFonts w:hint="eastAsia" w:ascii="彩虹粗仿宋" w:eastAsia="彩虹粗仿宋"/>
          <w:sz w:val="32"/>
          <w:szCs w:val="32"/>
        </w:rPr>
        <w:t>单个</w:t>
      </w:r>
      <w:r>
        <w:rPr>
          <w:rFonts w:hint="eastAsia" w:ascii="彩虹粗仿宋" w:eastAsia="彩虹粗仿宋"/>
          <w:sz w:val="32"/>
          <w:szCs w:val="32"/>
          <w:lang w:val="en-US" w:eastAsia="zh-CN"/>
        </w:rPr>
        <w:t>机构</w:t>
      </w:r>
      <w:r>
        <w:rPr>
          <w:rFonts w:hint="eastAsia" w:ascii="彩虹粗仿宋" w:eastAsia="彩虹粗仿宋"/>
          <w:sz w:val="32"/>
          <w:szCs w:val="32"/>
        </w:rPr>
        <w:t>投资者持有份额</w:t>
      </w:r>
      <w:r>
        <w:rPr>
          <w:rFonts w:hint="eastAsia" w:ascii="彩虹粗仿宋" w:eastAsia="彩虹粗仿宋"/>
          <w:sz w:val="32"/>
          <w:szCs w:val="32"/>
          <w:lang w:val="en-US" w:eastAsia="zh-CN"/>
        </w:rPr>
        <w:t>进行</w:t>
      </w:r>
      <w:r>
        <w:rPr>
          <w:rFonts w:hint="eastAsia" w:ascii="彩虹粗仿宋" w:eastAsia="彩虹粗仿宋"/>
          <w:sz w:val="32"/>
          <w:szCs w:val="32"/>
        </w:rPr>
        <w:t>限额。</w:t>
      </w:r>
    </w:p>
    <w:tbl>
      <w:tblPr>
        <w:tblStyle w:val="8"/>
        <w:tblpPr w:leftFromText="180" w:rightFromText="180" w:vertAnchor="text" w:horzAnchor="page" w:tblpXSpec="center" w:tblpY="479"/>
        <w:tblOverlap w:val="never"/>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5"/>
        <w:gridCol w:w="1582"/>
        <w:gridCol w:w="2355"/>
      </w:tblGrid>
      <w:tr w14:paraId="0DA8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5" w:type="dxa"/>
            <w:vAlign w:val="center"/>
          </w:tcPr>
          <w:p w14:paraId="506DD968">
            <w:pPr>
              <w:spacing w:line="240" w:lineRule="auto"/>
              <w:jc w:val="center"/>
              <w:rPr>
                <w:rFonts w:hint="eastAsia"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名称</w:t>
            </w:r>
          </w:p>
        </w:tc>
        <w:tc>
          <w:tcPr>
            <w:tcW w:w="1582" w:type="dxa"/>
            <w:vAlign w:val="center"/>
          </w:tcPr>
          <w:p w14:paraId="418E7D00">
            <w:pPr>
              <w:spacing w:line="240" w:lineRule="auto"/>
              <w:jc w:val="center"/>
              <w:rPr>
                <w:rFonts w:hint="default" w:ascii="彩虹粗仿宋" w:eastAsia="彩虹粗仿宋"/>
                <w:b/>
                <w:bCs/>
                <w:sz w:val="21"/>
                <w:szCs w:val="21"/>
                <w:vertAlign w:val="baseline"/>
                <w:lang w:val="en-US" w:eastAsia="zh-CN"/>
              </w:rPr>
            </w:pPr>
            <w:r>
              <w:rPr>
                <w:rFonts w:hint="default" w:ascii="彩虹粗仿宋" w:eastAsia="彩虹粗仿宋"/>
                <w:b/>
                <w:bCs/>
                <w:sz w:val="21"/>
                <w:szCs w:val="21"/>
                <w:vertAlign w:val="baseline"/>
                <w:lang w:val="en-US" w:eastAsia="zh-CN"/>
              </w:rPr>
              <w:t>产品上限</w:t>
            </w:r>
          </w:p>
        </w:tc>
        <w:tc>
          <w:tcPr>
            <w:tcW w:w="2355" w:type="dxa"/>
            <w:vAlign w:val="center"/>
          </w:tcPr>
          <w:p w14:paraId="379581FF">
            <w:pPr>
              <w:spacing w:line="240" w:lineRule="auto"/>
              <w:jc w:val="center"/>
              <w:rPr>
                <w:rFonts w:hint="default" w:ascii="彩虹粗仿宋" w:eastAsia="彩虹粗仿宋"/>
                <w:b/>
                <w:bCs/>
                <w:sz w:val="21"/>
                <w:szCs w:val="21"/>
                <w:vertAlign w:val="baseline"/>
                <w:lang w:val="en-US" w:eastAsia="zh-CN"/>
              </w:rPr>
            </w:pPr>
            <w:r>
              <w:rPr>
                <w:rFonts w:hint="default" w:ascii="彩虹粗仿宋" w:eastAsia="彩虹粗仿宋"/>
                <w:b/>
                <w:bCs/>
                <w:sz w:val="21"/>
                <w:szCs w:val="21"/>
                <w:vertAlign w:val="baseline"/>
                <w:lang w:val="en-US" w:eastAsia="zh-CN"/>
              </w:rPr>
              <w:t>单客持有份额</w:t>
            </w:r>
          </w:p>
        </w:tc>
      </w:tr>
      <w:tr w14:paraId="009F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605" w:type="dxa"/>
            <w:vAlign w:val="center"/>
          </w:tcPr>
          <w:p w14:paraId="67735040">
            <w:pPr>
              <w:spacing w:line="240" w:lineRule="auto"/>
              <w:jc w:val="center"/>
              <w:rPr>
                <w:rFonts w:hint="default" w:ascii="彩虹粗仿宋" w:eastAsia="彩虹粗仿宋"/>
                <w:sz w:val="21"/>
                <w:szCs w:val="21"/>
                <w:vertAlign w:val="baseline"/>
                <w:lang w:val="en-US" w:eastAsia="zh-CN"/>
              </w:rPr>
            </w:pPr>
            <w:r>
              <w:rPr>
                <w:rFonts w:hint="default" w:ascii="彩虹粗仿宋" w:eastAsia="彩虹粗仿宋"/>
                <w:sz w:val="21"/>
                <w:szCs w:val="21"/>
                <w:vertAlign w:val="baseline"/>
                <w:lang w:val="en-US" w:eastAsia="zh-CN"/>
              </w:rPr>
              <w:t>建信理财嘉鑫（稳利）法人版固收类按日开放式产品第119期</w:t>
            </w:r>
          </w:p>
        </w:tc>
        <w:tc>
          <w:tcPr>
            <w:tcW w:w="1582" w:type="dxa"/>
            <w:vAlign w:val="center"/>
          </w:tcPr>
          <w:p w14:paraId="05383427">
            <w:pPr>
              <w:spacing w:line="240" w:lineRule="auto"/>
              <w:jc w:val="center"/>
              <w:rPr>
                <w:rFonts w:hint="default"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不超过10亿份</w:t>
            </w:r>
          </w:p>
        </w:tc>
        <w:tc>
          <w:tcPr>
            <w:tcW w:w="2355" w:type="dxa"/>
            <w:tcBorders/>
            <w:vAlign w:val="center"/>
          </w:tcPr>
          <w:p w14:paraId="5D873E06">
            <w:pPr>
              <w:spacing w:line="240" w:lineRule="auto"/>
              <w:jc w:val="center"/>
              <w:rPr>
                <w:rFonts w:hint="eastAsia" w:ascii="彩虹粗仿宋" w:eastAsia="彩虹粗仿宋"/>
                <w:sz w:val="21"/>
                <w:szCs w:val="21"/>
                <w:vertAlign w:val="baseline"/>
              </w:rPr>
            </w:pPr>
            <w:r>
              <w:rPr>
                <w:rFonts w:hint="eastAsia" w:ascii="彩虹粗仿宋" w:eastAsia="彩虹粗仿宋"/>
                <w:sz w:val="21"/>
                <w:szCs w:val="21"/>
                <w:vertAlign w:val="baseline"/>
                <w:lang w:val="en-US" w:eastAsia="zh-CN"/>
              </w:rPr>
              <w:t>不超过5亿份</w:t>
            </w:r>
          </w:p>
        </w:tc>
      </w:tr>
    </w:tbl>
    <w:p w14:paraId="03D9E3BE">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2DA1A337">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特此公告。</w:t>
      </w:r>
    </w:p>
    <w:p w14:paraId="2A33C18B">
      <w:pPr>
        <w:spacing w:line="560" w:lineRule="exact"/>
        <w:ind w:firstLine="640" w:firstLineChars="200"/>
        <w:rPr>
          <w:rFonts w:ascii="彩虹粗仿宋" w:eastAsia="彩虹粗仿宋"/>
          <w:sz w:val="32"/>
          <w:szCs w:val="32"/>
        </w:rPr>
      </w:pPr>
    </w:p>
    <w:p w14:paraId="078B9DAE">
      <w:pPr>
        <w:spacing w:line="560" w:lineRule="exact"/>
        <w:ind w:firstLine="640" w:firstLineChars="200"/>
        <w:rPr>
          <w:rFonts w:ascii="彩虹粗仿宋" w:eastAsia="彩虹粗仿宋"/>
          <w:sz w:val="32"/>
          <w:szCs w:val="32"/>
        </w:rPr>
      </w:pPr>
    </w:p>
    <w:p w14:paraId="548A4C1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2F64DD99">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5</w:t>
      </w:r>
      <w:r>
        <w:rPr>
          <w:rFonts w:hint="eastAsia" w:ascii="彩虹粗仿宋" w:eastAsia="彩虹粗仿宋"/>
          <w:sz w:val="32"/>
          <w:szCs w:val="32"/>
        </w:rPr>
        <w:t>年</w:t>
      </w:r>
      <w:r>
        <w:rPr>
          <w:rFonts w:hint="eastAsia" w:ascii="彩虹粗仿宋" w:eastAsia="彩虹粗仿宋"/>
          <w:sz w:val="32"/>
          <w:szCs w:val="32"/>
          <w:lang w:val="en-US" w:eastAsia="zh-CN"/>
        </w:rPr>
        <w:t>12</w:t>
      </w:r>
      <w:r>
        <w:rPr>
          <w:rFonts w:hint="eastAsia" w:ascii="彩虹粗仿宋" w:eastAsia="彩虹粗仿宋"/>
          <w:sz w:val="32"/>
          <w:szCs w:val="32"/>
        </w:rPr>
        <w:t>月</w:t>
      </w:r>
      <w:r>
        <w:rPr>
          <w:rFonts w:hint="eastAsia" w:ascii="彩虹粗仿宋" w:eastAsia="彩虹粗仿宋"/>
          <w:sz w:val="32"/>
          <w:szCs w:val="32"/>
          <w:lang w:val="en-US" w:eastAsia="zh-CN"/>
        </w:rPr>
        <w:t>2</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7C36B9E"/>
    <w:rsid w:val="0B692294"/>
    <w:rsid w:val="0DE4769D"/>
    <w:rsid w:val="19D8550B"/>
    <w:rsid w:val="1E5C58CD"/>
    <w:rsid w:val="1FAD1145"/>
    <w:rsid w:val="25A32D1B"/>
    <w:rsid w:val="35C843A0"/>
    <w:rsid w:val="378709BB"/>
    <w:rsid w:val="398137B6"/>
    <w:rsid w:val="51661225"/>
    <w:rsid w:val="56184360"/>
    <w:rsid w:val="5D7819E8"/>
    <w:rsid w:val="6563093F"/>
    <w:rsid w:val="67A35B67"/>
    <w:rsid w:val="69C7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343</Characters>
  <Lines>1</Lines>
  <Paragraphs>1</Paragraphs>
  <TotalTime>6</TotalTime>
  <ScaleCrop>false</ScaleCrop>
  <LinksUpToDate>false</LinksUpToDate>
  <CharactersWithSpaces>370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2025-11-25T02:31:55Z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3436E12F4E294892993193F5B8CB3B83_13</vt:lpwstr>
  </property>
</Properties>
</file>