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842A">
      <w:pPr>
        <w:jc w:val="center"/>
        <w:rPr>
          <w:rFonts w:hint="default" w:ascii="彩虹小标宋" w:eastAsia="彩虹小标宋"/>
          <w:sz w:val="44"/>
          <w:szCs w:val="44"/>
          <w:lang w:val="en-US" w:eastAsia="zh-CN"/>
        </w:rPr>
      </w:pPr>
      <w:bookmarkStart w:id="0" w:name="_GoBack"/>
      <w:r>
        <w:rPr>
          <w:rFonts w:hint="eastAsia" w:ascii="彩虹小标宋" w:eastAsia="彩虹小标宋"/>
          <w:sz w:val="44"/>
          <w:szCs w:val="44"/>
        </w:rPr>
        <w:t>关于建信理财嘉鑫（稳利）法人版固收类按日开放式产品第119期</w:t>
      </w:r>
      <w:r>
        <w:rPr>
          <w:rFonts w:hint="eastAsia" w:ascii="彩虹小标宋" w:eastAsia="彩虹小标宋"/>
          <w:sz w:val="44"/>
          <w:szCs w:val="44"/>
          <w:lang w:val="en-US" w:eastAsia="zh-CN"/>
        </w:rPr>
        <w:t>调整申购开放日的公告-JXJXARGS251015119</w:t>
      </w:r>
    </w:p>
    <w:bookmarkEnd w:id="0"/>
    <w:p w14:paraId="6BC5BED5">
      <w:pPr>
        <w:spacing w:line="560" w:lineRule="exact"/>
        <w:rPr>
          <w:rFonts w:ascii="彩虹粗仿宋" w:eastAsia="彩虹粗仿宋"/>
          <w:sz w:val="32"/>
          <w:szCs w:val="32"/>
        </w:rPr>
      </w:pPr>
    </w:p>
    <w:p w14:paraId="17889B3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3998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为更好地提供理财服务，建信理财嘉鑫（稳利）法人版固收类按日开放式产品第119期</w:t>
      </w:r>
      <w:r>
        <w:rPr>
          <w:rFonts w:hint="eastAsia" w:ascii="彩虹粗仿宋" w:eastAsia="彩虹粗仿宋"/>
          <w:sz w:val="32"/>
          <w:szCs w:val="32"/>
          <w:lang w:eastAsia="zh-CN"/>
        </w:rPr>
        <w:t>（</w:t>
      </w:r>
      <w:r>
        <w:rPr>
          <w:rFonts w:hint="eastAsia" w:ascii="彩虹粗仿宋" w:eastAsia="彩虹粗仿宋"/>
          <w:sz w:val="32"/>
          <w:szCs w:val="32"/>
          <w:lang w:val="en-US" w:eastAsia="zh-CN"/>
        </w:rPr>
        <w:t>全国银行业理财信息登记系统编码：Z7000725001326</w:t>
      </w:r>
      <w:r>
        <w:rPr>
          <w:rFonts w:hint="eastAsia" w:ascii="彩虹粗仿宋" w:eastAsia="彩虹粗仿宋"/>
          <w:sz w:val="32"/>
          <w:szCs w:val="32"/>
          <w:lang w:eastAsia="zh-CN"/>
        </w:rPr>
        <w:t>）</w:t>
      </w:r>
      <w:r>
        <w:rPr>
          <w:rFonts w:hint="eastAsia" w:ascii="彩虹粗仿宋" w:eastAsia="彩虹粗仿宋"/>
          <w:sz w:val="32"/>
          <w:szCs w:val="32"/>
        </w:rPr>
        <w:t>将于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4</w:t>
      </w:r>
      <w:r>
        <w:rPr>
          <w:rFonts w:hint="eastAsia" w:ascii="彩虹粗仿宋" w:eastAsia="彩虹粗仿宋"/>
          <w:sz w:val="32"/>
          <w:szCs w:val="32"/>
        </w:rPr>
        <w:t>日</w:t>
      </w:r>
      <w:r>
        <w:rPr>
          <w:rFonts w:hint="eastAsia" w:ascii="彩虹粗仿宋" w:eastAsia="彩虹粗仿宋"/>
          <w:sz w:val="32"/>
          <w:szCs w:val="32"/>
          <w:lang w:eastAsia="zh-CN"/>
        </w:rPr>
        <w:t>（</w:t>
      </w:r>
      <w:r>
        <w:rPr>
          <w:rFonts w:hint="eastAsia" w:ascii="彩虹粗仿宋" w:eastAsia="彩虹粗仿宋"/>
          <w:sz w:val="32"/>
          <w:szCs w:val="32"/>
          <w:lang w:val="en-US" w:eastAsia="zh-CN"/>
        </w:rPr>
        <w:t>含</w:t>
      </w:r>
      <w:r>
        <w:rPr>
          <w:rFonts w:hint="eastAsia" w:ascii="彩虹粗仿宋" w:eastAsia="彩虹粗仿宋"/>
          <w:sz w:val="32"/>
          <w:szCs w:val="32"/>
          <w:lang w:eastAsia="zh-CN"/>
        </w:rPr>
        <w:t>）</w:t>
      </w:r>
      <w:r>
        <w:rPr>
          <w:rFonts w:hint="eastAsia" w:ascii="彩虹粗仿宋" w:eastAsia="彩虹粗仿宋"/>
          <w:sz w:val="32"/>
          <w:szCs w:val="32"/>
          <w:lang w:val="en-US" w:eastAsia="zh-CN"/>
        </w:rPr>
        <w:t>起调整申购开放日</w:t>
      </w:r>
      <w:r>
        <w:rPr>
          <w:rFonts w:hint="eastAsia" w:ascii="彩虹粗仿宋" w:eastAsia="彩虹粗仿宋"/>
          <w:sz w:val="32"/>
          <w:szCs w:val="32"/>
        </w:rPr>
        <w:t>。具体如下：</w:t>
      </w:r>
    </w:p>
    <w:tbl>
      <w:tblPr>
        <w:tblStyle w:val="8"/>
        <w:tblpPr w:leftFromText="180" w:rightFromText="180" w:vertAnchor="text" w:horzAnchor="page" w:tblpXSpec="center" w:tblpY="479"/>
        <w:tblOverlap w:val="never"/>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2385"/>
        <w:gridCol w:w="2356"/>
      </w:tblGrid>
      <w:tr w14:paraId="0DA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438" w:type="dxa"/>
            <w:vAlign w:val="center"/>
          </w:tcPr>
          <w:p w14:paraId="506DD968">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385" w:type="dxa"/>
            <w:vAlign w:val="center"/>
          </w:tcPr>
          <w:p w14:paraId="418E7D00">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申购开放日（调整前）</w:t>
            </w:r>
          </w:p>
        </w:tc>
        <w:tc>
          <w:tcPr>
            <w:tcW w:w="2356" w:type="dxa"/>
            <w:vAlign w:val="center"/>
          </w:tcPr>
          <w:p w14:paraId="379581FF">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申购开放日（调整</w:t>
            </w:r>
            <w:r>
              <w:rPr>
                <w:rFonts w:hint="eastAsia" w:ascii="彩虹粗仿宋" w:eastAsia="彩虹粗仿宋"/>
                <w:b/>
                <w:bCs/>
                <w:sz w:val="21"/>
                <w:szCs w:val="21"/>
                <w:vertAlign w:val="baseline"/>
                <w:lang w:val="en-US" w:eastAsia="zh-CN"/>
              </w:rPr>
              <w:t>后</w:t>
            </w:r>
            <w:r>
              <w:rPr>
                <w:rFonts w:hint="default" w:ascii="彩虹粗仿宋" w:eastAsia="彩虹粗仿宋"/>
                <w:b/>
                <w:bCs/>
                <w:sz w:val="21"/>
                <w:szCs w:val="21"/>
                <w:vertAlign w:val="baseline"/>
                <w:lang w:val="en-US" w:eastAsia="zh-CN"/>
              </w:rPr>
              <w:t>）</w:t>
            </w:r>
          </w:p>
        </w:tc>
      </w:tr>
      <w:tr w14:paraId="009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38" w:type="dxa"/>
            <w:vAlign w:val="center"/>
          </w:tcPr>
          <w:p w14:paraId="67735040">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建信理财嘉鑫（稳利）法人版固收类按日开放式产品第119期</w:t>
            </w:r>
          </w:p>
        </w:tc>
        <w:tc>
          <w:tcPr>
            <w:tcW w:w="2385" w:type="dxa"/>
            <w:vAlign w:val="center"/>
          </w:tcPr>
          <w:p w14:paraId="0379DC06">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2025/12/5-2099/12/31</w:t>
            </w:r>
          </w:p>
        </w:tc>
        <w:tc>
          <w:tcPr>
            <w:tcW w:w="2356" w:type="dxa"/>
            <w:vAlign w:val="center"/>
          </w:tcPr>
          <w:p w14:paraId="5D873E06">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sz w:val="21"/>
                <w:szCs w:val="21"/>
                <w:vertAlign w:val="baseline"/>
                <w:lang w:val="en-US" w:eastAsia="zh-CN"/>
              </w:rPr>
              <w:t>2025/12/4-2099/12/31</w:t>
            </w:r>
          </w:p>
        </w:tc>
      </w:tr>
    </w:tbl>
    <w:p w14:paraId="03D9E3B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B741D55"/>
    <w:rsid w:val="0DE4769D"/>
    <w:rsid w:val="19D8550B"/>
    <w:rsid w:val="1E5C58CD"/>
    <w:rsid w:val="1FAD1145"/>
    <w:rsid w:val="25A32D1B"/>
    <w:rsid w:val="35C843A0"/>
    <w:rsid w:val="378709BB"/>
    <w:rsid w:val="398137B6"/>
    <w:rsid w:val="51661225"/>
    <w:rsid w:val="56184360"/>
    <w:rsid w:val="5D7819E8"/>
    <w:rsid w:val="5ED36EEE"/>
    <w:rsid w:val="6563093F"/>
    <w:rsid w:val="67A35B67"/>
    <w:rsid w:val="69C7466E"/>
    <w:rsid w:val="7900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3</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2025-12-04T07:11:11Z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93704089B4D442759FC5F61F78368A13_13</vt:lpwstr>
  </property>
</Properties>
</file>