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D1367" w14:textId="77777777" w:rsidR="00174180" w:rsidRDefault="00CC63CF">
      <w:pPr>
        <w:widowControl/>
        <w:spacing w:before="100" w:beforeAutospacing="1" w:after="100" w:afterAutospacing="1" w:line="460" w:lineRule="atLeast"/>
        <w:jc w:val="center"/>
        <w:rPr>
          <w:rFonts w:ascii="宋体" w:eastAsia="宋体" w:hAnsi="宋体" w:cs="Arial"/>
          <w:b/>
          <w:color w:val="000000"/>
          <w:kern w:val="0"/>
          <w:szCs w:val="21"/>
        </w:rPr>
      </w:pPr>
      <w:r>
        <w:rPr>
          <w:rFonts w:ascii="宋体" w:eastAsia="宋体" w:hAnsi="宋体" w:cs="Arial" w:hint="eastAsia"/>
          <w:b/>
          <w:color w:val="000000"/>
          <w:kern w:val="0"/>
          <w:szCs w:val="21"/>
        </w:rPr>
        <w:t>关于建信理财部分理财产品管理费率优惠的公告</w:t>
      </w:r>
    </w:p>
    <w:p w14:paraId="04D52AA8" w14:textId="77777777" w:rsidR="00174180" w:rsidRDefault="00CC63CF">
      <w:pPr>
        <w:pStyle w:val="a4"/>
        <w:snapToGrid w:val="0"/>
        <w:spacing w:line="360" w:lineRule="atLeast"/>
        <w:rPr>
          <w:rFonts w:ascii="微软雅黑" w:eastAsia="微软雅黑" w:hAnsi="微软雅黑" w:cs="Arial"/>
          <w:color w:val="666666"/>
          <w:sz w:val="21"/>
          <w:szCs w:val="21"/>
        </w:rPr>
      </w:pPr>
      <w:r>
        <w:rPr>
          <w:rFonts w:cs="Arial" w:hint="eastAsia"/>
          <w:color w:val="000000"/>
          <w:sz w:val="21"/>
          <w:szCs w:val="21"/>
        </w:rPr>
        <w:t>尊敬的客户：</w:t>
      </w:r>
    </w:p>
    <w:p w14:paraId="4D961771" w14:textId="77777777" w:rsidR="00174180" w:rsidRDefault="00CC63CF">
      <w:pPr>
        <w:pStyle w:val="a4"/>
        <w:snapToGrid w:val="0"/>
        <w:spacing w:line="460" w:lineRule="atLeast"/>
        <w:ind w:firstLine="420"/>
        <w:rPr>
          <w:rFonts w:cs="Arial"/>
          <w:color w:val="000000"/>
          <w:sz w:val="21"/>
          <w:szCs w:val="21"/>
        </w:rPr>
      </w:pPr>
      <w:r>
        <w:rPr>
          <w:rFonts w:cs="Arial" w:hint="eastAsia"/>
          <w:color w:val="000000"/>
          <w:sz w:val="21"/>
          <w:szCs w:val="21"/>
        </w:rPr>
        <w:t>为更好地为客户提供投资理财服务，建信理财有限责任公司拟对建信理财部分理财产品的管理费率进行优惠，优惠结束时间以后续公告为准，具体内容如下：</w:t>
      </w:r>
    </w:p>
    <w:tbl>
      <w:tblPr>
        <w:tblW w:w="427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791"/>
        <w:gridCol w:w="2005"/>
        <w:gridCol w:w="1977"/>
        <w:gridCol w:w="2168"/>
        <w:gridCol w:w="2164"/>
      </w:tblGrid>
      <w:tr w:rsidR="00174180" w14:paraId="61378222" w14:textId="77777777">
        <w:trPr>
          <w:trHeight w:val="319"/>
          <w:tblHeader/>
          <w:jc w:val="center"/>
        </w:trPr>
        <w:tc>
          <w:tcPr>
            <w:tcW w:w="3793" w:type="dxa"/>
            <w:vMerge w:val="restart"/>
            <w:vAlign w:val="center"/>
          </w:tcPr>
          <w:p w14:paraId="17F1658C" w14:textId="77777777" w:rsidR="00174180" w:rsidRDefault="00CC63CF">
            <w:pPr>
              <w:widowControl/>
              <w:jc w:val="center"/>
              <w:textAlignment w:val="center"/>
              <w:rPr>
                <w:rFonts w:ascii="宋体" w:eastAsia="宋体" w:hAnsi="宋体" w:cs="宋体"/>
                <w:kern w:val="0"/>
                <w:szCs w:val="21"/>
                <w:lang w:bidi="ar"/>
              </w:rPr>
            </w:pPr>
            <w:r>
              <w:rPr>
                <w:rFonts w:ascii="宋体" w:eastAsia="宋体" w:hAnsi="宋体" w:cs="宋体" w:hint="eastAsia"/>
                <w:b/>
                <w:bCs/>
                <w:kern w:val="0"/>
                <w:szCs w:val="21"/>
                <w:lang w:bidi="ar"/>
              </w:rPr>
              <w:t>产品名称</w:t>
            </w:r>
          </w:p>
        </w:tc>
        <w:tc>
          <w:tcPr>
            <w:tcW w:w="2005" w:type="dxa"/>
            <w:vMerge w:val="restart"/>
            <w:vAlign w:val="center"/>
          </w:tcPr>
          <w:p w14:paraId="560934D2" w14:textId="77777777" w:rsidR="00174180" w:rsidRDefault="00CC63CF">
            <w:pPr>
              <w:widowControl/>
              <w:jc w:val="center"/>
              <w:textAlignment w:val="center"/>
              <w:rPr>
                <w:rFonts w:ascii="宋体" w:eastAsia="宋体" w:hAnsi="宋体" w:cs="宋体"/>
                <w:kern w:val="0"/>
                <w:szCs w:val="21"/>
                <w:lang w:bidi="ar"/>
              </w:rPr>
            </w:pPr>
            <w:r>
              <w:rPr>
                <w:rStyle w:val="a5"/>
                <w:rFonts w:ascii="宋体" w:eastAsia="宋体" w:hAnsi="宋体" w:cs="Arial" w:hint="eastAsia"/>
                <w:szCs w:val="21"/>
              </w:rPr>
              <w:t>全国银行业理财信息登记系统编号</w:t>
            </w:r>
          </w:p>
        </w:tc>
        <w:tc>
          <w:tcPr>
            <w:tcW w:w="1977" w:type="dxa"/>
            <w:vMerge w:val="restart"/>
            <w:vAlign w:val="center"/>
          </w:tcPr>
          <w:p w14:paraId="0CACA5DB" w14:textId="77777777" w:rsidR="00174180" w:rsidRDefault="00CC63CF">
            <w:pPr>
              <w:pStyle w:val="a4"/>
              <w:snapToGrid w:val="0"/>
              <w:jc w:val="center"/>
              <w:rPr>
                <w:rFonts w:cs="Arial"/>
                <w:sz w:val="21"/>
                <w:szCs w:val="21"/>
              </w:rPr>
            </w:pPr>
            <w:r>
              <w:rPr>
                <w:rStyle w:val="a5"/>
                <w:rFonts w:cs="Arial" w:hint="eastAsia"/>
                <w:sz w:val="21"/>
                <w:szCs w:val="21"/>
              </w:rPr>
              <w:t>优惠起始日（含）</w:t>
            </w:r>
          </w:p>
        </w:tc>
        <w:tc>
          <w:tcPr>
            <w:tcW w:w="4332" w:type="dxa"/>
            <w:gridSpan w:val="2"/>
            <w:vAlign w:val="center"/>
          </w:tcPr>
          <w:p w14:paraId="2351C94A" w14:textId="77777777" w:rsidR="00174180" w:rsidRDefault="00CC63CF">
            <w:pPr>
              <w:pStyle w:val="a4"/>
              <w:snapToGrid w:val="0"/>
              <w:jc w:val="center"/>
              <w:rPr>
                <w:rStyle w:val="a5"/>
                <w:sz w:val="21"/>
                <w:szCs w:val="21"/>
              </w:rPr>
            </w:pPr>
            <w:r>
              <w:rPr>
                <w:rStyle w:val="a5"/>
                <w:rFonts w:cs="Arial" w:hint="eastAsia"/>
                <w:sz w:val="21"/>
                <w:szCs w:val="21"/>
              </w:rPr>
              <w:t>管理费率（年化）</w:t>
            </w:r>
          </w:p>
        </w:tc>
      </w:tr>
      <w:tr w:rsidR="00174180" w14:paraId="7985BD43" w14:textId="77777777">
        <w:trPr>
          <w:trHeight w:val="50"/>
          <w:tblHeader/>
          <w:jc w:val="center"/>
        </w:trPr>
        <w:tc>
          <w:tcPr>
            <w:tcW w:w="3793" w:type="dxa"/>
            <w:vMerge/>
            <w:vAlign w:val="center"/>
          </w:tcPr>
          <w:p w14:paraId="71607D06" w14:textId="77777777" w:rsidR="00174180" w:rsidRDefault="00174180">
            <w:pPr>
              <w:widowControl/>
              <w:jc w:val="center"/>
              <w:rPr>
                <w:rFonts w:ascii="宋体" w:eastAsia="宋体" w:hAnsi="宋体" w:cs="宋体"/>
                <w:kern w:val="0"/>
                <w:szCs w:val="21"/>
                <w:lang w:bidi="ar"/>
              </w:rPr>
            </w:pPr>
          </w:p>
        </w:tc>
        <w:tc>
          <w:tcPr>
            <w:tcW w:w="2005" w:type="dxa"/>
            <w:vMerge/>
            <w:vAlign w:val="center"/>
          </w:tcPr>
          <w:p w14:paraId="7953AD43" w14:textId="77777777" w:rsidR="00174180" w:rsidRDefault="00174180">
            <w:pPr>
              <w:widowControl/>
              <w:jc w:val="center"/>
              <w:rPr>
                <w:rFonts w:ascii="宋体" w:eastAsia="宋体" w:hAnsi="宋体" w:cs="宋体"/>
                <w:kern w:val="0"/>
                <w:szCs w:val="21"/>
                <w:lang w:bidi="ar"/>
              </w:rPr>
            </w:pPr>
          </w:p>
        </w:tc>
        <w:tc>
          <w:tcPr>
            <w:tcW w:w="1977" w:type="dxa"/>
            <w:vMerge/>
            <w:vAlign w:val="center"/>
          </w:tcPr>
          <w:p w14:paraId="4B460578" w14:textId="77777777" w:rsidR="00174180" w:rsidRDefault="00174180">
            <w:pPr>
              <w:widowControl/>
              <w:jc w:val="center"/>
              <w:rPr>
                <w:rFonts w:ascii="宋体" w:eastAsia="宋体" w:hAnsi="宋体" w:cs="Arial"/>
                <w:kern w:val="0"/>
                <w:szCs w:val="21"/>
              </w:rPr>
            </w:pPr>
          </w:p>
        </w:tc>
        <w:tc>
          <w:tcPr>
            <w:tcW w:w="2168" w:type="dxa"/>
            <w:vAlign w:val="center"/>
          </w:tcPr>
          <w:p w14:paraId="518B5324" w14:textId="77777777" w:rsidR="00174180" w:rsidRDefault="00CC63CF">
            <w:pPr>
              <w:pStyle w:val="a4"/>
              <w:snapToGrid w:val="0"/>
              <w:jc w:val="center"/>
              <w:rPr>
                <w:rStyle w:val="a5"/>
                <w:rFonts w:cs="Arial"/>
                <w:sz w:val="21"/>
                <w:szCs w:val="21"/>
              </w:rPr>
            </w:pPr>
            <w:r>
              <w:rPr>
                <w:rStyle w:val="a5"/>
                <w:rFonts w:cs="Arial" w:hint="eastAsia"/>
                <w:sz w:val="21"/>
                <w:szCs w:val="21"/>
              </w:rPr>
              <w:t>优惠前</w:t>
            </w:r>
          </w:p>
        </w:tc>
        <w:tc>
          <w:tcPr>
            <w:tcW w:w="2164" w:type="dxa"/>
            <w:vAlign w:val="center"/>
          </w:tcPr>
          <w:p w14:paraId="78E38C2B" w14:textId="77777777" w:rsidR="00174180" w:rsidRDefault="00CC63CF">
            <w:pPr>
              <w:pStyle w:val="a4"/>
              <w:snapToGrid w:val="0"/>
              <w:jc w:val="center"/>
              <w:rPr>
                <w:rStyle w:val="a5"/>
                <w:rFonts w:cs="Arial"/>
                <w:sz w:val="21"/>
                <w:szCs w:val="21"/>
              </w:rPr>
            </w:pPr>
            <w:r>
              <w:rPr>
                <w:rStyle w:val="a5"/>
                <w:rFonts w:cs="Arial" w:hint="eastAsia"/>
                <w:sz w:val="21"/>
                <w:szCs w:val="21"/>
              </w:rPr>
              <w:t>优惠后</w:t>
            </w:r>
          </w:p>
        </w:tc>
      </w:tr>
      <w:tr w:rsidR="00174180" w14:paraId="46F5D398" w14:textId="77777777">
        <w:trPr>
          <w:trHeight w:val="519"/>
          <w:jc w:val="center"/>
        </w:trPr>
        <w:tc>
          <w:tcPr>
            <w:tcW w:w="3793" w:type="dxa"/>
            <w:vAlign w:val="center"/>
          </w:tcPr>
          <w:p w14:paraId="46F3A3B1"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建信理财嘉鑫（稳利）固收类封闭式产品</w:t>
            </w:r>
            <w:r>
              <w:rPr>
                <w:rFonts w:ascii="宋体" w:eastAsia="宋体" w:hAnsi="宋体" w:cs="宋体" w:hint="eastAsia"/>
                <w:szCs w:val="21"/>
              </w:rPr>
              <w:t>2025</w:t>
            </w:r>
            <w:r>
              <w:rPr>
                <w:rFonts w:ascii="宋体" w:eastAsia="宋体" w:hAnsi="宋体" w:cs="宋体" w:hint="eastAsia"/>
                <w:szCs w:val="21"/>
              </w:rPr>
              <w:t>年第</w:t>
            </w:r>
            <w:r>
              <w:rPr>
                <w:rFonts w:ascii="宋体" w:eastAsia="宋体" w:hAnsi="宋体" w:cs="宋体" w:hint="eastAsia"/>
                <w:szCs w:val="21"/>
              </w:rPr>
              <w:t>539</w:t>
            </w:r>
            <w:r>
              <w:rPr>
                <w:rFonts w:ascii="宋体" w:eastAsia="宋体" w:hAnsi="宋体" w:cs="宋体" w:hint="eastAsia"/>
                <w:szCs w:val="21"/>
              </w:rPr>
              <w:t>期</w:t>
            </w:r>
          </w:p>
        </w:tc>
        <w:tc>
          <w:tcPr>
            <w:tcW w:w="2005" w:type="dxa"/>
            <w:vAlign w:val="center"/>
          </w:tcPr>
          <w:p w14:paraId="2AFC314C"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Z7000725001461</w:t>
            </w:r>
          </w:p>
        </w:tc>
        <w:tc>
          <w:tcPr>
            <w:tcW w:w="1977" w:type="dxa"/>
            <w:vAlign w:val="center"/>
          </w:tcPr>
          <w:p w14:paraId="22E60F5D"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25</w:t>
            </w:r>
            <w:r>
              <w:rPr>
                <w:rFonts w:ascii="宋体" w:eastAsia="宋体" w:hAnsi="宋体" w:cs="宋体" w:hint="eastAsia"/>
                <w:szCs w:val="21"/>
              </w:rPr>
              <w:t>日</w:t>
            </w:r>
          </w:p>
        </w:tc>
        <w:tc>
          <w:tcPr>
            <w:tcW w:w="2168" w:type="dxa"/>
            <w:vAlign w:val="center"/>
          </w:tcPr>
          <w:p w14:paraId="48D9A8A6"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0.10%</w:t>
            </w:r>
          </w:p>
        </w:tc>
        <w:tc>
          <w:tcPr>
            <w:tcW w:w="2164" w:type="dxa"/>
            <w:vAlign w:val="center"/>
          </w:tcPr>
          <w:p w14:paraId="659EFA67"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0.01%</w:t>
            </w:r>
          </w:p>
        </w:tc>
      </w:tr>
      <w:tr w:rsidR="00174180" w14:paraId="232B6C89" w14:textId="77777777">
        <w:trPr>
          <w:trHeight w:val="90"/>
          <w:jc w:val="center"/>
        </w:trPr>
        <w:tc>
          <w:tcPr>
            <w:tcW w:w="3793" w:type="dxa"/>
            <w:vAlign w:val="center"/>
          </w:tcPr>
          <w:p w14:paraId="4BD06B38"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建信理财嘉鑫（稳利）固收类封闭式产品</w:t>
            </w:r>
            <w:r>
              <w:rPr>
                <w:rFonts w:ascii="宋体" w:eastAsia="宋体" w:hAnsi="宋体" w:cs="宋体" w:hint="eastAsia"/>
                <w:szCs w:val="21"/>
              </w:rPr>
              <w:t>2025</w:t>
            </w:r>
            <w:r>
              <w:rPr>
                <w:rFonts w:ascii="宋体" w:eastAsia="宋体" w:hAnsi="宋体" w:cs="宋体" w:hint="eastAsia"/>
                <w:szCs w:val="21"/>
              </w:rPr>
              <w:t>年第</w:t>
            </w:r>
            <w:r>
              <w:rPr>
                <w:rFonts w:ascii="宋体" w:eastAsia="宋体" w:hAnsi="宋体" w:cs="宋体" w:hint="eastAsia"/>
                <w:szCs w:val="21"/>
              </w:rPr>
              <w:t>540</w:t>
            </w:r>
            <w:r>
              <w:rPr>
                <w:rFonts w:ascii="宋体" w:eastAsia="宋体" w:hAnsi="宋体" w:cs="宋体" w:hint="eastAsia"/>
                <w:szCs w:val="21"/>
              </w:rPr>
              <w:t>期</w:t>
            </w:r>
          </w:p>
        </w:tc>
        <w:tc>
          <w:tcPr>
            <w:tcW w:w="2005" w:type="dxa"/>
            <w:vAlign w:val="center"/>
          </w:tcPr>
          <w:p w14:paraId="15AE1C10"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Z7000725001475</w:t>
            </w:r>
          </w:p>
        </w:tc>
        <w:tc>
          <w:tcPr>
            <w:tcW w:w="1977" w:type="dxa"/>
            <w:vAlign w:val="center"/>
          </w:tcPr>
          <w:p w14:paraId="537747AF"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25</w:t>
            </w:r>
            <w:r>
              <w:rPr>
                <w:rFonts w:ascii="宋体" w:eastAsia="宋体" w:hAnsi="宋体" w:cs="宋体" w:hint="eastAsia"/>
                <w:szCs w:val="21"/>
              </w:rPr>
              <w:t>日</w:t>
            </w:r>
          </w:p>
        </w:tc>
        <w:tc>
          <w:tcPr>
            <w:tcW w:w="2168" w:type="dxa"/>
            <w:vAlign w:val="center"/>
          </w:tcPr>
          <w:p w14:paraId="2205F56B"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0.10%</w:t>
            </w:r>
          </w:p>
        </w:tc>
        <w:tc>
          <w:tcPr>
            <w:tcW w:w="2164" w:type="dxa"/>
            <w:vAlign w:val="center"/>
          </w:tcPr>
          <w:p w14:paraId="59A4D27A"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0.01%</w:t>
            </w:r>
          </w:p>
        </w:tc>
      </w:tr>
      <w:tr w:rsidR="00174180" w14:paraId="71DBC6DC" w14:textId="77777777">
        <w:trPr>
          <w:trHeight w:val="90"/>
          <w:jc w:val="center"/>
        </w:trPr>
        <w:tc>
          <w:tcPr>
            <w:tcW w:w="3793" w:type="dxa"/>
            <w:vAlign w:val="center"/>
          </w:tcPr>
          <w:p w14:paraId="27A6A906"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建信理财嘉鑫（稳利）固收类封闭式产品</w:t>
            </w:r>
            <w:r>
              <w:rPr>
                <w:rFonts w:ascii="宋体" w:eastAsia="宋体" w:hAnsi="宋体" w:cs="宋体" w:hint="eastAsia"/>
                <w:szCs w:val="21"/>
              </w:rPr>
              <w:t>2025</w:t>
            </w:r>
            <w:r>
              <w:rPr>
                <w:rFonts w:ascii="宋体" w:eastAsia="宋体" w:hAnsi="宋体" w:cs="宋体" w:hint="eastAsia"/>
                <w:szCs w:val="21"/>
              </w:rPr>
              <w:t>年第</w:t>
            </w:r>
            <w:r>
              <w:rPr>
                <w:rFonts w:ascii="宋体" w:eastAsia="宋体" w:hAnsi="宋体" w:cs="宋体" w:hint="eastAsia"/>
                <w:szCs w:val="21"/>
              </w:rPr>
              <w:t>541</w:t>
            </w:r>
            <w:r>
              <w:rPr>
                <w:rFonts w:ascii="宋体" w:eastAsia="宋体" w:hAnsi="宋体" w:cs="宋体" w:hint="eastAsia"/>
                <w:szCs w:val="21"/>
              </w:rPr>
              <w:t>期</w:t>
            </w:r>
          </w:p>
        </w:tc>
        <w:tc>
          <w:tcPr>
            <w:tcW w:w="2005" w:type="dxa"/>
            <w:vAlign w:val="center"/>
          </w:tcPr>
          <w:p w14:paraId="3FAF1463"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Z7000725001470</w:t>
            </w:r>
          </w:p>
        </w:tc>
        <w:tc>
          <w:tcPr>
            <w:tcW w:w="1977" w:type="dxa"/>
            <w:vAlign w:val="center"/>
          </w:tcPr>
          <w:p w14:paraId="3AADDF33"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25</w:t>
            </w:r>
            <w:r>
              <w:rPr>
                <w:rFonts w:ascii="宋体" w:eastAsia="宋体" w:hAnsi="宋体" w:cs="宋体" w:hint="eastAsia"/>
                <w:szCs w:val="21"/>
              </w:rPr>
              <w:t>日</w:t>
            </w:r>
          </w:p>
        </w:tc>
        <w:tc>
          <w:tcPr>
            <w:tcW w:w="2168" w:type="dxa"/>
            <w:vAlign w:val="center"/>
          </w:tcPr>
          <w:p w14:paraId="3B587B13"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0.10%</w:t>
            </w:r>
          </w:p>
        </w:tc>
        <w:tc>
          <w:tcPr>
            <w:tcW w:w="2164" w:type="dxa"/>
            <w:vAlign w:val="center"/>
          </w:tcPr>
          <w:p w14:paraId="4C764FAF"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0.01%</w:t>
            </w:r>
          </w:p>
        </w:tc>
      </w:tr>
      <w:tr w:rsidR="00174180" w14:paraId="379C0D90" w14:textId="77777777">
        <w:trPr>
          <w:trHeight w:val="90"/>
          <w:jc w:val="center"/>
        </w:trPr>
        <w:tc>
          <w:tcPr>
            <w:tcW w:w="3793" w:type="dxa"/>
            <w:vAlign w:val="center"/>
          </w:tcPr>
          <w:p w14:paraId="7A04E9AB"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建信理财嘉鑫固收类封闭式产品</w:t>
            </w:r>
            <w:r>
              <w:rPr>
                <w:rFonts w:ascii="宋体" w:eastAsia="宋体" w:hAnsi="宋体" w:cs="宋体" w:hint="eastAsia"/>
                <w:szCs w:val="21"/>
              </w:rPr>
              <w:t>2025</w:t>
            </w:r>
            <w:r>
              <w:rPr>
                <w:rFonts w:ascii="宋体" w:eastAsia="宋体" w:hAnsi="宋体" w:cs="宋体" w:hint="eastAsia"/>
                <w:szCs w:val="21"/>
              </w:rPr>
              <w:t>年第</w:t>
            </w:r>
            <w:r>
              <w:rPr>
                <w:rFonts w:ascii="宋体" w:eastAsia="宋体" w:hAnsi="宋体" w:cs="宋体" w:hint="eastAsia"/>
                <w:szCs w:val="21"/>
              </w:rPr>
              <w:t>347</w:t>
            </w:r>
            <w:r>
              <w:rPr>
                <w:rFonts w:ascii="宋体" w:eastAsia="宋体" w:hAnsi="宋体" w:cs="宋体" w:hint="eastAsia"/>
                <w:szCs w:val="21"/>
              </w:rPr>
              <w:t>期</w:t>
            </w:r>
          </w:p>
        </w:tc>
        <w:tc>
          <w:tcPr>
            <w:tcW w:w="2005" w:type="dxa"/>
            <w:vAlign w:val="center"/>
          </w:tcPr>
          <w:p w14:paraId="23DA703B"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Z7000725000701</w:t>
            </w:r>
          </w:p>
        </w:tc>
        <w:tc>
          <w:tcPr>
            <w:tcW w:w="1977" w:type="dxa"/>
            <w:vAlign w:val="center"/>
          </w:tcPr>
          <w:p w14:paraId="4C831133"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25</w:t>
            </w:r>
            <w:r>
              <w:rPr>
                <w:rFonts w:ascii="宋体" w:eastAsia="宋体" w:hAnsi="宋体" w:cs="宋体" w:hint="eastAsia"/>
                <w:szCs w:val="21"/>
              </w:rPr>
              <w:t>日</w:t>
            </w:r>
          </w:p>
        </w:tc>
        <w:tc>
          <w:tcPr>
            <w:tcW w:w="2168" w:type="dxa"/>
            <w:vAlign w:val="center"/>
          </w:tcPr>
          <w:p w14:paraId="310D0D2F"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0.10%</w:t>
            </w:r>
          </w:p>
        </w:tc>
        <w:tc>
          <w:tcPr>
            <w:tcW w:w="2164" w:type="dxa"/>
            <w:vAlign w:val="center"/>
          </w:tcPr>
          <w:p w14:paraId="556763C8" w14:textId="77777777" w:rsidR="00174180" w:rsidRDefault="00CC63CF">
            <w:pPr>
              <w:widowControl/>
              <w:jc w:val="center"/>
              <w:textAlignment w:val="center"/>
              <w:rPr>
                <w:rFonts w:ascii="宋体" w:eastAsia="宋体" w:hAnsi="宋体" w:cs="宋体"/>
                <w:szCs w:val="21"/>
              </w:rPr>
            </w:pPr>
            <w:r>
              <w:rPr>
                <w:rFonts w:ascii="宋体" w:eastAsia="宋体" w:hAnsi="宋体" w:cs="宋体" w:hint="eastAsia"/>
                <w:szCs w:val="21"/>
              </w:rPr>
              <w:t>0.05%</w:t>
            </w:r>
          </w:p>
        </w:tc>
      </w:tr>
    </w:tbl>
    <w:p w14:paraId="49485491" w14:textId="77777777" w:rsidR="00174180" w:rsidRDefault="00CC63CF">
      <w:pPr>
        <w:pStyle w:val="a4"/>
        <w:ind w:firstLine="420"/>
        <w:rPr>
          <w:rFonts w:ascii="微软雅黑" w:eastAsia="微软雅黑" w:hAnsi="微软雅黑" w:cs="Arial"/>
          <w:color w:val="666666"/>
          <w:sz w:val="21"/>
          <w:szCs w:val="21"/>
        </w:rPr>
      </w:pPr>
      <w:r>
        <w:rPr>
          <w:rFonts w:cs="Arial" w:hint="eastAsia"/>
          <w:color w:val="000000"/>
          <w:sz w:val="21"/>
          <w:szCs w:val="21"/>
        </w:rPr>
        <w:t>本公告未提及事宜，按原产品说明书和风险揭示书的约定执行。</w:t>
      </w:r>
    </w:p>
    <w:p w14:paraId="57192C05" w14:textId="77777777" w:rsidR="00174180" w:rsidRDefault="00CC63CF">
      <w:pPr>
        <w:pStyle w:val="a4"/>
        <w:snapToGrid w:val="0"/>
        <w:ind w:firstLine="420"/>
        <w:rPr>
          <w:rFonts w:cs="Arial"/>
          <w:color w:val="000000"/>
          <w:sz w:val="21"/>
          <w:szCs w:val="21"/>
        </w:rPr>
      </w:pPr>
      <w:r>
        <w:rPr>
          <w:rFonts w:cs="Arial" w:hint="eastAsia"/>
          <w:color w:val="000000"/>
          <w:sz w:val="21"/>
          <w:szCs w:val="21"/>
        </w:rPr>
        <w:t>特此公告。</w:t>
      </w:r>
    </w:p>
    <w:p w14:paraId="6CC573A4" w14:textId="77777777" w:rsidR="00174180" w:rsidRDefault="00CC63CF">
      <w:pPr>
        <w:pStyle w:val="a4"/>
        <w:snapToGrid w:val="0"/>
        <w:spacing w:before="0" w:beforeAutospacing="0" w:after="0" w:afterAutospacing="0" w:line="460" w:lineRule="atLeast"/>
        <w:ind w:firstLine="420"/>
        <w:jc w:val="right"/>
        <w:rPr>
          <w:rFonts w:asciiTheme="minorEastAsia" w:eastAsiaTheme="minorEastAsia" w:hAnsiTheme="minorEastAsia" w:cs="Arial"/>
          <w:color w:val="666666"/>
          <w:sz w:val="21"/>
          <w:szCs w:val="21"/>
        </w:rPr>
      </w:pPr>
      <w:r>
        <w:rPr>
          <w:rFonts w:asciiTheme="minorEastAsia" w:eastAsiaTheme="minorEastAsia" w:hAnsiTheme="minorEastAsia" w:cs="Arial" w:hint="eastAsia"/>
          <w:color w:val="000000"/>
          <w:sz w:val="21"/>
          <w:szCs w:val="21"/>
        </w:rPr>
        <w:t>建信理财有限责任公司</w:t>
      </w:r>
    </w:p>
    <w:p w14:paraId="58221918" w14:textId="7F04E99A" w:rsidR="00174180" w:rsidRDefault="00CC63CF">
      <w:pPr>
        <w:pStyle w:val="a4"/>
        <w:snapToGrid w:val="0"/>
        <w:spacing w:before="0" w:beforeAutospacing="0" w:after="0" w:afterAutospacing="0" w:line="460" w:lineRule="atLeast"/>
        <w:ind w:firstLine="420"/>
        <w:jc w:val="right"/>
      </w:pPr>
      <w:r>
        <w:rPr>
          <w:rFonts w:asciiTheme="minorEastAsia" w:eastAsiaTheme="minorEastAsia" w:hAnsiTheme="minorEastAsia" w:cs="Arial" w:hint="eastAsia"/>
          <w:color w:val="000000"/>
          <w:sz w:val="21"/>
          <w:szCs w:val="21"/>
        </w:rPr>
        <w:t>2025</w:t>
      </w:r>
      <w:r>
        <w:rPr>
          <w:rFonts w:asciiTheme="minorEastAsia" w:eastAsiaTheme="minorEastAsia" w:hAnsiTheme="minorEastAsia" w:cs="Arial" w:hint="eastAsia"/>
          <w:color w:val="000000"/>
          <w:sz w:val="21"/>
          <w:szCs w:val="21"/>
        </w:rPr>
        <w:t>年</w:t>
      </w:r>
      <w:r>
        <w:rPr>
          <w:rFonts w:asciiTheme="minorEastAsia" w:eastAsiaTheme="minorEastAsia" w:hAnsiTheme="minorEastAsia" w:cs="Arial" w:hint="eastAsia"/>
          <w:color w:val="000000"/>
          <w:sz w:val="21"/>
          <w:szCs w:val="21"/>
        </w:rPr>
        <w:t>12</w:t>
      </w:r>
      <w:r>
        <w:rPr>
          <w:rFonts w:asciiTheme="minorEastAsia" w:eastAsiaTheme="minorEastAsia" w:hAnsiTheme="minorEastAsia" w:cs="Arial" w:hint="eastAsia"/>
          <w:color w:val="000000"/>
          <w:sz w:val="21"/>
          <w:szCs w:val="21"/>
        </w:rPr>
        <w:t>月</w:t>
      </w:r>
      <w:r>
        <w:rPr>
          <w:rFonts w:asciiTheme="minorEastAsia" w:eastAsiaTheme="minorEastAsia" w:hAnsiTheme="minorEastAsia" w:cs="Arial"/>
          <w:color w:val="000000"/>
          <w:sz w:val="21"/>
          <w:szCs w:val="21"/>
        </w:rPr>
        <w:t>22</w:t>
      </w:r>
      <w:bookmarkStart w:id="0" w:name="_GoBack"/>
      <w:bookmarkEnd w:id="0"/>
      <w:r>
        <w:rPr>
          <w:rFonts w:asciiTheme="minorEastAsia" w:eastAsiaTheme="minorEastAsia" w:hAnsiTheme="minorEastAsia" w:cs="Arial" w:hint="eastAsia"/>
          <w:color w:val="000000"/>
          <w:sz w:val="21"/>
          <w:szCs w:val="21"/>
        </w:rPr>
        <w:t>日</w:t>
      </w:r>
    </w:p>
    <w:sectPr w:rsidR="0017418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0157C6"/>
    <w:rsid w:val="00174180"/>
    <w:rsid w:val="001F3804"/>
    <w:rsid w:val="00290D18"/>
    <w:rsid w:val="002D01D5"/>
    <w:rsid w:val="002E20DA"/>
    <w:rsid w:val="002F36C3"/>
    <w:rsid w:val="00303577"/>
    <w:rsid w:val="00304F6C"/>
    <w:rsid w:val="0035757C"/>
    <w:rsid w:val="004637BC"/>
    <w:rsid w:val="004A16D9"/>
    <w:rsid w:val="006166F5"/>
    <w:rsid w:val="006D626D"/>
    <w:rsid w:val="007B00C8"/>
    <w:rsid w:val="008C6BAF"/>
    <w:rsid w:val="008C7590"/>
    <w:rsid w:val="00A36EF3"/>
    <w:rsid w:val="00AD74A4"/>
    <w:rsid w:val="00C10189"/>
    <w:rsid w:val="00CC63CF"/>
    <w:rsid w:val="02463876"/>
    <w:rsid w:val="02E5268A"/>
    <w:rsid w:val="063B1146"/>
    <w:rsid w:val="0A7D1C2B"/>
    <w:rsid w:val="0EF33893"/>
    <w:rsid w:val="0F3C1792"/>
    <w:rsid w:val="12F066A2"/>
    <w:rsid w:val="16B75A2E"/>
    <w:rsid w:val="1CE407F6"/>
    <w:rsid w:val="1E703800"/>
    <w:rsid w:val="22F8694F"/>
    <w:rsid w:val="26C60FF7"/>
    <w:rsid w:val="27AD03A5"/>
    <w:rsid w:val="27D54BC8"/>
    <w:rsid w:val="29600D5C"/>
    <w:rsid w:val="298F1E12"/>
    <w:rsid w:val="2C7A1CCF"/>
    <w:rsid w:val="2E8D0030"/>
    <w:rsid w:val="30AB4ED6"/>
    <w:rsid w:val="32D75DF9"/>
    <w:rsid w:val="3535115B"/>
    <w:rsid w:val="35352A53"/>
    <w:rsid w:val="35A35F0C"/>
    <w:rsid w:val="35D36382"/>
    <w:rsid w:val="3B8C4B13"/>
    <w:rsid w:val="3C813185"/>
    <w:rsid w:val="40531A52"/>
    <w:rsid w:val="42C46384"/>
    <w:rsid w:val="432005F5"/>
    <w:rsid w:val="432937C0"/>
    <w:rsid w:val="4A920056"/>
    <w:rsid w:val="4F8746B8"/>
    <w:rsid w:val="508E21DE"/>
    <w:rsid w:val="543847B7"/>
    <w:rsid w:val="54CB2E50"/>
    <w:rsid w:val="58913FBE"/>
    <w:rsid w:val="5AB158C3"/>
    <w:rsid w:val="609108DC"/>
    <w:rsid w:val="6141071D"/>
    <w:rsid w:val="630E1F93"/>
    <w:rsid w:val="674B2153"/>
    <w:rsid w:val="695732E1"/>
    <w:rsid w:val="6970223F"/>
    <w:rsid w:val="6A39016C"/>
    <w:rsid w:val="6BA96FAE"/>
    <w:rsid w:val="724D0D96"/>
    <w:rsid w:val="72FF663B"/>
    <w:rsid w:val="735A21CD"/>
    <w:rsid w:val="73837D20"/>
    <w:rsid w:val="747B30DE"/>
    <w:rsid w:val="7657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D90F3"/>
  <w15:docId w15:val="{1970771F-01AE-48FE-A82B-D1CDCA3E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paragraph" w:styleId="a6">
    <w:name w:val="Date"/>
    <w:basedOn w:val="a"/>
    <w:next w:val="a"/>
    <w:link w:val="a7"/>
    <w:rsid w:val="00CC63CF"/>
    <w:pPr>
      <w:ind w:leftChars="2500" w:left="100"/>
    </w:pPr>
  </w:style>
  <w:style w:type="character" w:customStyle="1" w:styleId="a7">
    <w:name w:val="日期 字符"/>
    <w:basedOn w:val="a0"/>
    <w:link w:val="a6"/>
    <w:rsid w:val="00CC63C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李琪</cp:lastModifiedBy>
  <cp:revision>16</cp:revision>
  <dcterms:created xsi:type="dcterms:W3CDTF">2024-11-11T01:06:00Z</dcterms:created>
  <dcterms:modified xsi:type="dcterms:W3CDTF">2025-12-21T11:37:00Z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DEBD07D541514CE8A893BA008B1CDA01_11</vt:lpwstr>
  </property>
</Properties>
</file>