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9E52">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eastAsia="zh-CN"/>
        </w:rPr>
        <w:t>建信理财嘉鑫（稳利）法人版固收类按日开放式产品第28期</w:t>
      </w:r>
      <w:r>
        <w:rPr>
          <w:rFonts w:hint="eastAsia" w:ascii="彩虹小标宋" w:eastAsia="彩虹小标宋"/>
          <w:sz w:val="44"/>
          <w:szCs w:val="44"/>
          <w:lang w:val="en-US" w:eastAsia="zh-CN"/>
        </w:rPr>
        <w:t>限制</w:t>
      </w:r>
      <w:r>
        <w:rPr>
          <w:rFonts w:hint="eastAsia" w:ascii="彩虹小标宋" w:eastAsia="彩虹小标宋"/>
          <w:sz w:val="44"/>
          <w:szCs w:val="44"/>
        </w:rPr>
        <w:t>单日净申购份额的公告</w:t>
      </w:r>
      <w:r>
        <w:rPr>
          <w:rFonts w:hint="eastAsia" w:ascii="彩虹小标宋" w:eastAsia="彩虹小标宋"/>
          <w:sz w:val="44"/>
          <w:szCs w:val="44"/>
          <w:lang w:val="en-US" w:eastAsia="zh-CN"/>
        </w:rPr>
        <w:t>-JXJXFRAR250801028</w:t>
      </w:r>
    </w:p>
    <w:p w14:paraId="6BC5BED5">
      <w:pPr>
        <w:spacing w:line="560" w:lineRule="exact"/>
        <w:rPr>
          <w:rFonts w:ascii="彩虹粗仿宋" w:eastAsia="彩虹粗仿宋"/>
          <w:sz w:val="32"/>
          <w:szCs w:val="32"/>
        </w:rPr>
      </w:pPr>
    </w:p>
    <w:p w14:paraId="17889B3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3998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拟限制建信理财嘉鑫（稳利）法人版固收类按日开放式产品第28期</w:t>
      </w:r>
      <w:r>
        <w:rPr>
          <w:rFonts w:hint="eastAsia" w:ascii="彩虹粗仿宋" w:eastAsia="彩虹粗仿宋"/>
          <w:sz w:val="32"/>
          <w:szCs w:val="32"/>
        </w:rPr>
        <w:t>（全国银行业理财信息登记系统编码：Z7000725000916）</w:t>
      </w:r>
      <w:r>
        <w:rPr>
          <w:rFonts w:hint="eastAsia" w:ascii="彩虹粗仿宋" w:eastAsia="彩虹粗仿宋"/>
          <w:sz w:val="32"/>
          <w:szCs w:val="32"/>
          <w:lang w:val="en-US" w:eastAsia="zh-CN"/>
        </w:rPr>
        <w:t>的单日净申购份额（单日累计申购总份额-单日累计赎回总份额）。</w:t>
      </w:r>
    </w:p>
    <w:tbl>
      <w:tblPr>
        <w:tblStyle w:val="10"/>
        <w:tblpPr w:leftFromText="180" w:rightFromText="180" w:vertAnchor="text" w:horzAnchor="page" w:tblpXSpec="center" w:tblpY="479"/>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4"/>
        <w:gridCol w:w="2190"/>
        <w:gridCol w:w="2238"/>
      </w:tblGrid>
      <w:tr w14:paraId="0DA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4" w:type="dxa"/>
            <w:vAlign w:val="center"/>
          </w:tcPr>
          <w:p w14:paraId="506DD968">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2190" w:type="dxa"/>
            <w:vAlign w:val="center"/>
          </w:tcPr>
          <w:p w14:paraId="418E7D00">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单日净申购份额限制</w:t>
            </w:r>
          </w:p>
        </w:tc>
        <w:tc>
          <w:tcPr>
            <w:tcW w:w="2238" w:type="dxa"/>
            <w:vAlign w:val="center"/>
          </w:tcPr>
          <w:p w14:paraId="379581FF">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生效日</w:t>
            </w:r>
          </w:p>
        </w:tc>
      </w:tr>
      <w:tr w14:paraId="009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114" w:type="dxa"/>
            <w:vAlign w:val="center"/>
          </w:tcPr>
          <w:p w14:paraId="6773504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建信理财嘉鑫（稳利）法人版固收类按日开放式产品第28期</w:t>
            </w:r>
          </w:p>
        </w:tc>
        <w:tc>
          <w:tcPr>
            <w:tcW w:w="2190" w:type="dxa"/>
            <w:vAlign w:val="center"/>
          </w:tcPr>
          <w:p w14:paraId="0538342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不超过500万份</w:t>
            </w:r>
          </w:p>
        </w:tc>
        <w:tc>
          <w:tcPr>
            <w:tcW w:w="2238" w:type="dxa"/>
            <w:vAlign w:val="center"/>
          </w:tcPr>
          <w:p w14:paraId="5D873E06">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rPr>
              <w:t>2025年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31</w:t>
            </w:r>
            <w:r>
              <w:rPr>
                <w:rFonts w:hint="eastAsia" w:ascii="宋体" w:hAnsi="宋体" w:eastAsia="宋体" w:cs="宋体"/>
                <w:sz w:val="21"/>
                <w:szCs w:val="21"/>
              </w:rPr>
              <w:t>日</w:t>
            </w:r>
          </w:p>
        </w:tc>
      </w:tr>
    </w:tbl>
    <w:p w14:paraId="03D9E3B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bookmarkStart w:id="0" w:name="_GoBack"/>
      <w:bookmarkEnd w:id="0"/>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26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Noto Sans HK Light">
    <w:panose1 w:val="020B0200000000000000"/>
    <w:charset w:val="88"/>
    <w:family w:val="auto"/>
    <w:pitch w:val="default"/>
    <w:sig w:usb0="20000083" w:usb1="2ADF3C10" w:usb2="00000016" w:usb3="00000000" w:csb0="60120107" w:csb1="00000000"/>
  </w:font>
  <w:font w:name="Noto Sans SC">
    <w:panose1 w:val="020B0200000000000000"/>
    <w:charset w:val="86"/>
    <w:family w:val="auto"/>
    <w:pitch w:val="default"/>
    <w:sig w:usb0="20000083" w:usb1="2ADF3C10" w:usb2="00000016" w:usb3="00000000" w:csb0="60060107" w:csb1="00000000"/>
  </w:font>
  <w:font w:name="Noto Sans TC Black">
    <w:panose1 w:val="020B0200000000000000"/>
    <w:charset w:val="88"/>
    <w:family w:val="auto"/>
    <w:pitch w:val="default"/>
    <w:sig w:usb0="20000083" w:usb1="2ADF3C10" w:usb2="00000016" w:usb3="00000000" w:csb0="60120107" w:csb1="00000000"/>
  </w:font>
  <w:font w:name="Noto Serif SC Black">
    <w:panose1 w:val="02020200000000000000"/>
    <w:charset w:val="86"/>
    <w:family w:val="auto"/>
    <w:pitch w:val="default"/>
    <w:sig w:usb0="20000083" w:usb1="2ADF3C10" w:usb2="00000016" w:usb3="00000000" w:csb0="60060107" w:csb1="00000000"/>
  </w:font>
  <w:font w:name="Noto Serif SC Medium">
    <w:panose1 w:val="02020200000000000000"/>
    <w:charset w:val="86"/>
    <w:family w:val="auto"/>
    <w:pitch w:val="default"/>
    <w:sig w:usb0="20000083" w:usb1="2ADF3C10" w:usb2="00000016" w:usb3="00000000" w:csb0="60060107" w:csb1="00000000"/>
  </w:font>
  <w:font w:name="Noto Serif TC Light">
    <w:panose1 w:val="02020200000000000000"/>
    <w:charset w:val="88"/>
    <w:family w:val="auto"/>
    <w:pitch w:val="default"/>
    <w:sig w:usb0="20000083" w:usb1="2ADF3C10" w:usb2="00000016" w:usb3="00000000" w:csb0="60120107"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3E40FBA"/>
    <w:rsid w:val="07C36B9E"/>
    <w:rsid w:val="0B692294"/>
    <w:rsid w:val="0DE4769D"/>
    <w:rsid w:val="19D8550B"/>
    <w:rsid w:val="1E5C58CD"/>
    <w:rsid w:val="1FAD1145"/>
    <w:rsid w:val="24A00CF4"/>
    <w:rsid w:val="25A32D1B"/>
    <w:rsid w:val="35C843A0"/>
    <w:rsid w:val="378709BB"/>
    <w:rsid w:val="398137B6"/>
    <w:rsid w:val="51661225"/>
    <w:rsid w:val="56184360"/>
    <w:rsid w:val="5D7819E8"/>
    <w:rsid w:val="5E434EA7"/>
    <w:rsid w:val="6563093F"/>
    <w:rsid w:val="67A35B67"/>
    <w:rsid w:val="69C7466E"/>
    <w:rsid w:val="74E1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4"/>
    <w:semiHidden/>
    <w:unhideWhenUsed/>
    <w:qFormat/>
    <w:uiPriority w:val="99"/>
    <w:pPr>
      <w:jc w:val="left"/>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5"/>
    <w:semiHidden/>
    <w:unhideWhenUsed/>
    <w:qFormat/>
    <w:uiPriority w:val="99"/>
    <w:rPr>
      <w:b/>
      <w:bCs/>
    </w:rPr>
  </w:style>
  <w:style w:type="paragraph" w:styleId="9">
    <w:name w:val="Balloon Text"/>
    <w:basedOn w:val="1"/>
    <w:link w:val="13"/>
    <w:semiHidden/>
    <w:unhideWhenUsed/>
    <w:qFormat/>
    <w:uiPriority w:val="99"/>
    <w:rPr>
      <w:sz w:val="18"/>
      <w:szCs w:val="18"/>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2"/>
    <w:link w:val="5"/>
    <w:qFormat/>
    <w:uiPriority w:val="99"/>
    <w:rPr>
      <w:sz w:val="18"/>
      <w:szCs w:val="18"/>
    </w:rPr>
  </w:style>
  <w:style w:type="character" w:customStyle="1" w:styleId="12">
    <w:name w:val="页脚 字符"/>
    <w:basedOn w:val="2"/>
    <w:link w:val="7"/>
    <w:qFormat/>
    <w:uiPriority w:val="99"/>
    <w:rPr>
      <w:sz w:val="18"/>
      <w:szCs w:val="18"/>
    </w:rPr>
  </w:style>
  <w:style w:type="character" w:customStyle="1" w:styleId="13">
    <w:name w:val="批注框文本 字符"/>
    <w:basedOn w:val="2"/>
    <w:link w:val="9"/>
    <w:semiHidden/>
    <w:qFormat/>
    <w:uiPriority w:val="99"/>
    <w:rPr>
      <w:sz w:val="18"/>
      <w:szCs w:val="18"/>
    </w:rPr>
  </w:style>
  <w:style w:type="character" w:customStyle="1" w:styleId="14">
    <w:name w:val="批注文字 字符"/>
    <w:basedOn w:val="2"/>
    <w:link w:val="6"/>
    <w:semiHidden/>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3</TotalTime>
  <ScaleCrop>false</ScaleCrop>
  <LinksUpToDate>false</LinksUpToDate>
  <CharactersWithSpaces>370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Easter Yu</cp:lastModifiedBy>
  <dcterms:modified xsi:type="dcterms:W3CDTF">2025-12-26T01:47:24Z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E9CE8559483844F2898795EFDAC617CC_13</vt:lpwstr>
  </property>
</Properties>
</file>