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6A569">
      <w:pPr>
        <w:jc w:val="center"/>
        <w:rPr>
          <w:rFonts w:ascii="彩虹小标宋" w:eastAsia="彩虹小标宋"/>
          <w:sz w:val="44"/>
          <w:szCs w:val="44"/>
        </w:rPr>
      </w:pPr>
      <w:r>
        <w:rPr>
          <w:rFonts w:hint="eastAsia" w:ascii="彩虹小标宋" w:eastAsia="彩虹小标宋"/>
          <w:sz w:val="44"/>
          <w:szCs w:val="44"/>
        </w:rPr>
        <w:t>关于调整</w:t>
      </w:r>
      <w:r>
        <w:rPr>
          <w:rFonts w:hint="eastAsia" w:ascii="彩虹小标宋" w:eastAsia="彩虹小标宋"/>
          <w:sz w:val="44"/>
          <w:szCs w:val="44"/>
          <w:lang w:val="en-US" w:eastAsia="zh-CN"/>
        </w:rPr>
        <w:t>部分理财产品工作日规则</w:t>
      </w:r>
      <w:r>
        <w:rPr>
          <w:rFonts w:hint="eastAsia" w:ascii="彩虹小标宋" w:eastAsia="彩虹小标宋"/>
          <w:sz w:val="44"/>
          <w:szCs w:val="44"/>
        </w:rPr>
        <w:t>的公告</w:t>
      </w:r>
    </w:p>
    <w:p w14:paraId="090D3271">
      <w:pPr>
        <w:spacing w:line="560" w:lineRule="exact"/>
        <w:rPr>
          <w:rFonts w:ascii="彩虹粗仿宋" w:eastAsia="彩虹粗仿宋"/>
          <w:sz w:val="32"/>
          <w:szCs w:val="32"/>
        </w:rPr>
      </w:pPr>
    </w:p>
    <w:p w14:paraId="41C41FE4">
      <w:pPr>
        <w:spacing w:line="560" w:lineRule="exact"/>
        <w:rPr>
          <w:rFonts w:ascii="彩虹粗仿宋" w:eastAsia="彩虹粗仿宋"/>
          <w:sz w:val="32"/>
          <w:szCs w:val="32"/>
        </w:rPr>
      </w:pPr>
      <w:r>
        <w:rPr>
          <w:rFonts w:hint="eastAsia" w:ascii="彩虹粗仿宋" w:eastAsia="彩虹粗仿宋"/>
          <w:sz w:val="32"/>
          <w:szCs w:val="32"/>
        </w:rPr>
        <w:t>尊敬的投资者：</w:t>
      </w:r>
      <w:bookmarkStart w:id="0" w:name="_GoBack"/>
      <w:bookmarkEnd w:id="0"/>
    </w:p>
    <w:p w14:paraId="496CC94E">
      <w:pPr>
        <w:spacing w:line="560" w:lineRule="exact"/>
        <w:ind w:firstLine="640" w:firstLineChars="200"/>
        <w:rPr>
          <w:rFonts w:hint="default" w:ascii="彩虹粗仿宋" w:eastAsia="彩虹粗仿宋"/>
          <w:sz w:val="32"/>
          <w:szCs w:val="32"/>
          <w:lang w:val="en-US" w:eastAsia="zh-CN"/>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于2026年1月6日（含）起</w:t>
      </w:r>
      <w:r>
        <w:rPr>
          <w:rFonts w:hint="eastAsia" w:ascii="彩虹粗仿宋" w:eastAsia="彩虹粗仿宋"/>
          <w:sz w:val="32"/>
          <w:szCs w:val="32"/>
        </w:rPr>
        <w:t>调整</w:t>
      </w:r>
      <w:r>
        <w:rPr>
          <w:rFonts w:hint="eastAsia" w:ascii="彩虹粗仿宋" w:eastAsia="彩虹粗仿宋"/>
          <w:sz w:val="32"/>
          <w:szCs w:val="32"/>
          <w:lang w:val="en-US" w:eastAsia="zh-CN"/>
        </w:rPr>
        <w:t>部分理财产品的工作日规则，具体如下：</w:t>
      </w:r>
    </w:p>
    <w:tbl>
      <w:tblPr>
        <w:tblStyle w:val="10"/>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688"/>
        <w:gridCol w:w="2547"/>
        <w:gridCol w:w="2530"/>
        <w:tblGridChange w:id="0">
          <w:tblGrid>
            <w:gridCol w:w="763"/>
            <w:gridCol w:w="762"/>
            <w:gridCol w:w="763"/>
            <w:gridCol w:w="925"/>
            <w:gridCol w:w="763"/>
            <w:gridCol w:w="1784"/>
            <w:gridCol w:w="39"/>
            <w:gridCol w:w="1483"/>
            <w:gridCol w:w="1008"/>
          </w:tblGrid>
        </w:tblGridChange>
      </w:tblGrid>
      <w:tr w14:paraId="4E40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25" w:type="dxa"/>
            <w:vAlign w:val="center"/>
          </w:tcPr>
          <w:p w14:paraId="05B96B47">
            <w:pPr>
              <w:jc w:val="center"/>
              <w:rPr>
                <w:rFonts w:ascii="宋体" w:hAnsi="宋体" w:eastAsia="宋体"/>
                <w:b/>
                <w:szCs w:val="21"/>
              </w:rPr>
            </w:pPr>
            <w:r>
              <w:rPr>
                <w:rFonts w:hint="eastAsia" w:ascii="宋体" w:hAnsi="宋体" w:eastAsia="宋体"/>
                <w:b/>
                <w:szCs w:val="21"/>
              </w:rPr>
              <w:t>产品名称</w:t>
            </w:r>
          </w:p>
        </w:tc>
        <w:tc>
          <w:tcPr>
            <w:tcW w:w="1688" w:type="dxa"/>
            <w:vAlign w:val="center"/>
          </w:tcPr>
          <w:p w14:paraId="58B187BD">
            <w:pPr>
              <w:jc w:val="center"/>
              <w:rPr>
                <w:rFonts w:hint="eastAsia" w:ascii="宋体" w:hAnsi="宋体" w:eastAsia="宋体"/>
                <w:b/>
                <w:szCs w:val="21"/>
              </w:rPr>
            </w:pPr>
            <w:r>
              <w:rPr>
                <w:rFonts w:hint="eastAsia" w:ascii="宋体" w:hAnsi="宋体" w:eastAsia="宋体"/>
                <w:b/>
                <w:szCs w:val="21"/>
                <w:lang w:eastAsia="zh-CN"/>
              </w:rPr>
              <w:t>全国银行业理财信息登记系统编码</w:t>
            </w:r>
          </w:p>
        </w:tc>
        <w:tc>
          <w:tcPr>
            <w:tcW w:w="2547" w:type="dxa"/>
            <w:vAlign w:val="center"/>
          </w:tcPr>
          <w:p w14:paraId="60A242D8">
            <w:pPr>
              <w:jc w:val="center"/>
              <w:rPr>
                <w:rFonts w:hint="eastAsia" w:ascii="宋体" w:hAnsi="宋体" w:eastAsia="宋体"/>
                <w:b/>
                <w:szCs w:val="21"/>
                <w:lang w:eastAsia="zh-CN"/>
              </w:rPr>
            </w:pPr>
            <w:r>
              <w:rPr>
                <w:rFonts w:hint="eastAsia" w:ascii="宋体" w:hAnsi="宋体" w:eastAsia="宋体"/>
                <w:b/>
                <w:szCs w:val="21"/>
              </w:rPr>
              <w:t>调整</w:t>
            </w:r>
            <w:r>
              <w:rPr>
                <w:rFonts w:hint="eastAsia" w:ascii="宋体" w:hAnsi="宋体" w:eastAsia="宋体"/>
                <w:b/>
                <w:szCs w:val="21"/>
                <w:lang w:val="en-US" w:eastAsia="zh-CN"/>
              </w:rPr>
              <w:t>前</w:t>
            </w:r>
          </w:p>
        </w:tc>
        <w:tc>
          <w:tcPr>
            <w:tcW w:w="2530" w:type="dxa"/>
            <w:vAlign w:val="center"/>
          </w:tcPr>
          <w:p w14:paraId="23583EEE">
            <w:pPr>
              <w:jc w:val="center"/>
              <w:rPr>
                <w:rFonts w:hint="eastAsia" w:ascii="宋体" w:hAnsi="宋体" w:eastAsia="宋体"/>
                <w:b/>
                <w:szCs w:val="21"/>
              </w:rPr>
            </w:pPr>
            <w:r>
              <w:rPr>
                <w:rFonts w:hint="eastAsia" w:ascii="宋体" w:hAnsi="宋体" w:eastAsia="宋体"/>
                <w:b/>
                <w:szCs w:val="21"/>
              </w:rPr>
              <w:t>调整</w:t>
            </w:r>
            <w:r>
              <w:rPr>
                <w:rFonts w:hint="eastAsia" w:ascii="宋体" w:hAnsi="宋体" w:eastAsia="宋体"/>
                <w:b/>
                <w:szCs w:val="21"/>
                <w:lang w:val="en-US" w:eastAsia="zh-CN"/>
              </w:rPr>
              <w:t>后</w:t>
            </w:r>
          </w:p>
        </w:tc>
      </w:tr>
      <w:tr w14:paraId="1828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525" w:type="dxa"/>
            <w:vAlign w:val="center"/>
          </w:tcPr>
          <w:p w14:paraId="71EBD554">
            <w:pPr>
              <w:jc w:val="center"/>
              <w:rPr>
                <w:rFonts w:ascii="宋体" w:hAnsi="宋体" w:eastAsia="宋体" w:cs="宋体"/>
                <w:szCs w:val="21"/>
              </w:rPr>
            </w:pPr>
            <w:r>
              <w:rPr>
                <w:rFonts w:ascii="宋体" w:hAnsi="宋体" w:eastAsia="宋体" w:cs="宋体"/>
                <w:szCs w:val="21"/>
              </w:rPr>
              <w:t>建信理财嘉鑫（稳利）法人版固收类按日开放式产品第26期</w:t>
            </w:r>
          </w:p>
        </w:tc>
        <w:tc>
          <w:tcPr>
            <w:tcW w:w="1688" w:type="dxa"/>
            <w:vAlign w:val="center"/>
          </w:tcPr>
          <w:p w14:paraId="0D97D701">
            <w:pPr>
              <w:jc w:val="both"/>
              <w:rPr>
                <w:rFonts w:hint="eastAsia" w:ascii="宋体" w:hAnsi="宋体" w:eastAsia="宋体" w:cs="宋体"/>
                <w:szCs w:val="21"/>
              </w:rPr>
            </w:pPr>
            <w:r>
              <w:rPr>
                <w:rFonts w:hint="eastAsia" w:ascii="宋体" w:hAnsi="宋体" w:eastAsia="宋体" w:cs="宋体"/>
                <w:szCs w:val="21"/>
              </w:rPr>
              <w:t>Z7000725000915</w:t>
            </w:r>
          </w:p>
        </w:tc>
        <w:tc>
          <w:tcPr>
            <w:tcW w:w="2547" w:type="dxa"/>
            <w:vMerge w:val="restart"/>
            <w:vAlign w:val="center"/>
          </w:tcPr>
          <w:p w14:paraId="05E9EF4C">
            <w:pPr>
              <w:jc w:val="left"/>
              <w:rPr>
                <w:rFonts w:hint="eastAsia" w:ascii="宋体" w:hAnsi="宋体" w:eastAsia="宋体"/>
                <w:szCs w:val="21"/>
                <w:lang w:eastAsia="zh-CN"/>
              </w:rPr>
            </w:pPr>
            <w:r>
              <w:rPr>
                <w:rFonts w:hint="eastAsia" w:ascii="宋体" w:hAnsi="宋体" w:eastAsia="宋体"/>
                <w:szCs w:val="21"/>
                <w:lang w:val="en-US" w:eastAsia="zh-CN"/>
              </w:rPr>
              <w:t>申购开放日：</w:t>
            </w:r>
            <w:r>
              <w:rPr>
                <w:rFonts w:hint="eastAsia" w:ascii="宋体" w:hAnsi="宋体" w:eastAsia="宋体"/>
                <w:szCs w:val="21"/>
              </w:rPr>
              <w:t>产品成立日后的每个工作日为产品申购开放日</w:t>
            </w:r>
            <w:r>
              <w:rPr>
                <w:rFonts w:hint="eastAsia" w:ascii="宋体" w:hAnsi="宋体" w:eastAsia="宋体"/>
                <w:szCs w:val="21"/>
                <w:lang w:eastAsia="zh-CN"/>
              </w:rPr>
              <w:t>。</w:t>
            </w:r>
          </w:p>
          <w:p w14:paraId="1949D1E6">
            <w:pPr>
              <w:jc w:val="left"/>
              <w:rPr>
                <w:rFonts w:hint="eastAsia" w:ascii="宋体" w:hAnsi="宋体" w:eastAsia="宋体"/>
                <w:sz w:val="21"/>
                <w:szCs w:val="21"/>
                <w:lang w:eastAsia="zh-CN"/>
              </w:rPr>
            </w:pPr>
            <w:r>
              <w:rPr>
                <w:rFonts w:hint="eastAsia" w:ascii="宋体" w:hAnsi="宋体" w:eastAsia="宋体"/>
                <w:szCs w:val="21"/>
                <w:lang w:val="en-US" w:eastAsia="zh-CN"/>
              </w:rPr>
              <w:t>赎回开放日：</w:t>
            </w:r>
            <w:r>
              <w:rPr>
                <w:rFonts w:hint="eastAsia" w:ascii="宋体" w:hAnsi="宋体" w:eastAsia="宋体"/>
                <w:sz w:val="21"/>
                <w:szCs w:val="21"/>
              </w:rPr>
              <w:t>产品成立日后的每个</w:t>
            </w:r>
            <w:r>
              <w:rPr>
                <w:rFonts w:hint="eastAsia" w:ascii="宋体" w:hAnsi="宋体" w:eastAsia="宋体"/>
                <w:sz w:val="21"/>
                <w:szCs w:val="21"/>
                <w:lang w:val="en-US" w:eastAsia="zh-CN"/>
              </w:rPr>
              <w:t>工作</w:t>
            </w:r>
            <w:r>
              <w:rPr>
                <w:rFonts w:hint="eastAsia" w:ascii="宋体" w:hAnsi="宋体" w:eastAsia="宋体"/>
                <w:sz w:val="21"/>
                <w:szCs w:val="21"/>
              </w:rPr>
              <w:t>日为产品赎回开放日</w:t>
            </w:r>
            <w:r>
              <w:rPr>
                <w:rFonts w:hint="eastAsia" w:ascii="宋体" w:hAnsi="宋体" w:eastAsia="宋体"/>
                <w:sz w:val="21"/>
                <w:szCs w:val="21"/>
                <w:lang w:eastAsia="zh-CN"/>
              </w:rPr>
              <w:t>。</w:t>
            </w:r>
          </w:p>
          <w:p w14:paraId="0D8C2C07">
            <w:pPr>
              <w:jc w:val="left"/>
              <w:rPr>
                <w:rFonts w:hint="eastAsia" w:ascii="宋体" w:hAnsi="宋体" w:eastAsia="宋体"/>
                <w:sz w:val="21"/>
                <w:szCs w:val="21"/>
                <w:lang w:val="en-US" w:eastAsia="zh-CN"/>
              </w:rPr>
            </w:pPr>
            <w:r>
              <w:rPr>
                <w:rFonts w:hint="default" w:ascii="宋体" w:hAnsi="宋体" w:eastAsia="宋体"/>
                <w:sz w:val="21"/>
                <w:szCs w:val="21"/>
                <w:lang w:val="en-US" w:eastAsia="zh-CN"/>
              </w:rPr>
              <w:t>本产品在申购开放日后第一个工作日（T+1日）对申购申请的有效性进行确认</w:t>
            </w:r>
            <w:r>
              <w:rPr>
                <w:rFonts w:hint="eastAsia" w:ascii="宋体" w:hAnsi="宋体" w:eastAsia="宋体"/>
                <w:sz w:val="21"/>
                <w:szCs w:val="21"/>
                <w:lang w:val="en-US" w:eastAsia="zh-CN"/>
              </w:rPr>
              <w:t>。</w:t>
            </w:r>
          </w:p>
          <w:p w14:paraId="3327CF88">
            <w:pPr>
              <w:jc w:val="left"/>
              <w:rPr>
                <w:rFonts w:hint="default" w:ascii="宋体" w:hAnsi="宋体" w:eastAsia="宋体"/>
                <w:sz w:val="21"/>
                <w:szCs w:val="21"/>
                <w:lang w:val="en-US" w:eastAsia="zh-CN"/>
              </w:rPr>
            </w:pPr>
            <w:r>
              <w:rPr>
                <w:rFonts w:hint="default" w:ascii="宋体" w:hAnsi="宋体" w:eastAsia="宋体"/>
                <w:sz w:val="21"/>
                <w:szCs w:val="21"/>
                <w:lang w:val="en-US" w:eastAsia="zh-CN"/>
              </w:rPr>
              <w:t>本产品在赎回开放日后第一个工作日（T+1日）对赎回申请的有效性进行确认，并完成赎回资金到账</w:t>
            </w:r>
            <w:r>
              <w:rPr>
                <w:rFonts w:hint="eastAsia" w:ascii="宋体" w:hAnsi="宋体" w:eastAsia="宋体"/>
                <w:sz w:val="21"/>
                <w:szCs w:val="21"/>
                <w:lang w:val="en-US" w:eastAsia="zh-CN"/>
              </w:rPr>
              <w:t>。</w:t>
            </w:r>
          </w:p>
          <w:p w14:paraId="05B5DAFD">
            <w:pPr>
              <w:jc w:val="left"/>
              <w:rPr>
                <w:rFonts w:ascii="宋体" w:hAnsi="宋体" w:eastAsia="宋体" w:cs="宋体"/>
                <w:szCs w:val="21"/>
              </w:rPr>
            </w:pPr>
          </w:p>
        </w:tc>
        <w:tc>
          <w:tcPr>
            <w:tcW w:w="2530" w:type="dxa"/>
            <w:vMerge w:val="restart"/>
            <w:shd w:val="clear"/>
            <w:vAlign w:val="center"/>
          </w:tcPr>
          <w:p w14:paraId="501C4458">
            <w:pPr>
              <w:jc w:val="left"/>
              <w:rPr>
                <w:rFonts w:hint="eastAsia" w:ascii="宋体" w:hAnsi="宋体" w:eastAsia="宋体"/>
                <w:szCs w:val="21"/>
                <w:lang w:eastAsia="zh-CN"/>
              </w:rPr>
            </w:pPr>
            <w:r>
              <w:rPr>
                <w:rFonts w:hint="eastAsia" w:ascii="宋体" w:hAnsi="宋体" w:eastAsia="宋体"/>
                <w:szCs w:val="21"/>
                <w:lang w:val="en-US" w:eastAsia="zh-CN"/>
              </w:rPr>
              <w:t>申购开放日：</w:t>
            </w:r>
            <w:r>
              <w:rPr>
                <w:rFonts w:hint="eastAsia" w:ascii="宋体" w:hAnsi="宋体" w:eastAsia="宋体"/>
                <w:szCs w:val="21"/>
              </w:rPr>
              <w:t>产品成立日后的每个</w:t>
            </w:r>
            <w:r>
              <w:rPr>
                <w:rFonts w:hint="eastAsia" w:ascii="宋体" w:hAnsi="宋体" w:eastAsia="宋体"/>
                <w:szCs w:val="21"/>
                <w:lang w:val="en-US" w:eastAsia="zh-CN"/>
              </w:rPr>
              <w:t>交易</w:t>
            </w:r>
            <w:r>
              <w:rPr>
                <w:rFonts w:hint="eastAsia" w:ascii="宋体" w:hAnsi="宋体" w:eastAsia="宋体"/>
                <w:szCs w:val="21"/>
              </w:rPr>
              <w:t>日为产品申购开放日</w:t>
            </w:r>
            <w:r>
              <w:rPr>
                <w:rFonts w:hint="eastAsia" w:ascii="宋体" w:hAnsi="宋体" w:eastAsia="宋体"/>
                <w:szCs w:val="21"/>
                <w:lang w:eastAsia="zh-CN"/>
              </w:rPr>
              <w:t>。</w:t>
            </w:r>
          </w:p>
          <w:p w14:paraId="18CA752A">
            <w:pPr>
              <w:jc w:val="left"/>
              <w:rPr>
                <w:rFonts w:hint="eastAsia" w:ascii="宋体" w:hAnsi="宋体" w:eastAsia="宋体"/>
                <w:sz w:val="21"/>
                <w:szCs w:val="21"/>
                <w:lang w:eastAsia="zh-CN"/>
              </w:rPr>
            </w:pPr>
            <w:r>
              <w:rPr>
                <w:rFonts w:hint="eastAsia" w:ascii="宋体" w:hAnsi="宋体" w:eastAsia="宋体"/>
                <w:szCs w:val="21"/>
                <w:lang w:val="en-US" w:eastAsia="zh-CN"/>
              </w:rPr>
              <w:t>赎回开放日：</w:t>
            </w:r>
            <w:r>
              <w:rPr>
                <w:rFonts w:hint="eastAsia" w:ascii="宋体" w:hAnsi="宋体" w:eastAsia="宋体"/>
                <w:sz w:val="21"/>
                <w:szCs w:val="21"/>
              </w:rPr>
              <w:t>产品成立日后的每个</w:t>
            </w:r>
            <w:r>
              <w:rPr>
                <w:rFonts w:hint="eastAsia" w:ascii="宋体" w:hAnsi="宋体" w:eastAsia="宋体"/>
                <w:sz w:val="21"/>
                <w:szCs w:val="21"/>
                <w:lang w:val="en-US" w:eastAsia="zh-CN"/>
              </w:rPr>
              <w:t>交易</w:t>
            </w:r>
            <w:r>
              <w:rPr>
                <w:rFonts w:hint="eastAsia" w:ascii="宋体" w:hAnsi="宋体" w:eastAsia="宋体"/>
                <w:sz w:val="21"/>
                <w:szCs w:val="21"/>
              </w:rPr>
              <w:t>日为产品赎回开放日</w:t>
            </w:r>
            <w:r>
              <w:rPr>
                <w:rFonts w:hint="eastAsia" w:ascii="宋体" w:hAnsi="宋体" w:eastAsia="宋体"/>
                <w:sz w:val="21"/>
                <w:szCs w:val="21"/>
                <w:lang w:eastAsia="zh-CN"/>
              </w:rPr>
              <w:t>。</w:t>
            </w:r>
          </w:p>
          <w:p w14:paraId="7ADA04D6">
            <w:pPr>
              <w:jc w:val="left"/>
              <w:rPr>
                <w:rFonts w:hint="eastAsia" w:ascii="宋体" w:hAnsi="宋体" w:eastAsia="宋体"/>
                <w:sz w:val="21"/>
                <w:szCs w:val="21"/>
                <w:lang w:val="en-US" w:eastAsia="zh-CN"/>
              </w:rPr>
            </w:pPr>
            <w:r>
              <w:rPr>
                <w:rFonts w:hint="default" w:ascii="宋体" w:hAnsi="宋体" w:eastAsia="宋体"/>
                <w:sz w:val="21"/>
                <w:szCs w:val="21"/>
                <w:lang w:val="en-US" w:eastAsia="zh-CN"/>
              </w:rPr>
              <w:t>本产品在申购开放日后第一个</w:t>
            </w:r>
            <w:r>
              <w:rPr>
                <w:rFonts w:hint="eastAsia" w:ascii="宋体" w:hAnsi="宋体" w:eastAsia="宋体"/>
                <w:sz w:val="21"/>
                <w:szCs w:val="21"/>
                <w:lang w:val="en-US" w:eastAsia="zh-CN"/>
              </w:rPr>
              <w:t>交易</w:t>
            </w:r>
            <w:r>
              <w:rPr>
                <w:rFonts w:hint="default" w:ascii="宋体" w:hAnsi="宋体" w:eastAsia="宋体"/>
                <w:sz w:val="21"/>
                <w:szCs w:val="21"/>
                <w:lang w:val="en-US" w:eastAsia="zh-CN"/>
              </w:rPr>
              <w:t>日（T+1日）对申购申请的有效性进行确认</w:t>
            </w:r>
            <w:r>
              <w:rPr>
                <w:rFonts w:hint="eastAsia" w:ascii="宋体" w:hAnsi="宋体" w:eastAsia="宋体"/>
                <w:sz w:val="21"/>
                <w:szCs w:val="21"/>
                <w:lang w:val="en-US" w:eastAsia="zh-CN"/>
              </w:rPr>
              <w:t>。</w:t>
            </w:r>
          </w:p>
          <w:p w14:paraId="58A2483E">
            <w:pPr>
              <w:jc w:val="left"/>
              <w:rPr>
                <w:rFonts w:hint="default" w:ascii="宋体" w:hAnsi="宋体" w:eastAsia="宋体"/>
                <w:sz w:val="21"/>
                <w:szCs w:val="21"/>
                <w:lang w:val="en-US" w:eastAsia="zh-CN"/>
              </w:rPr>
            </w:pPr>
            <w:r>
              <w:rPr>
                <w:rFonts w:hint="default" w:ascii="宋体" w:hAnsi="宋体" w:eastAsia="宋体"/>
                <w:sz w:val="21"/>
                <w:szCs w:val="21"/>
                <w:lang w:val="en-US" w:eastAsia="zh-CN"/>
              </w:rPr>
              <w:t>本产品在赎回开放日后第一个</w:t>
            </w:r>
            <w:r>
              <w:rPr>
                <w:rFonts w:hint="eastAsia" w:ascii="宋体" w:hAnsi="宋体" w:eastAsia="宋体"/>
                <w:sz w:val="21"/>
                <w:szCs w:val="21"/>
                <w:lang w:val="en-US" w:eastAsia="zh-CN"/>
              </w:rPr>
              <w:t>交易</w:t>
            </w:r>
            <w:r>
              <w:rPr>
                <w:rFonts w:hint="default" w:ascii="宋体" w:hAnsi="宋体" w:eastAsia="宋体"/>
                <w:sz w:val="21"/>
                <w:szCs w:val="21"/>
                <w:lang w:val="en-US" w:eastAsia="zh-CN"/>
              </w:rPr>
              <w:t>日（T+1日）对赎回申请的有效性进行确认，并完成赎回资金到账</w:t>
            </w:r>
            <w:r>
              <w:rPr>
                <w:rFonts w:hint="eastAsia" w:ascii="宋体" w:hAnsi="宋体" w:eastAsia="宋体"/>
                <w:sz w:val="21"/>
                <w:szCs w:val="21"/>
                <w:lang w:val="en-US" w:eastAsia="zh-CN"/>
              </w:rPr>
              <w:t>。</w:t>
            </w:r>
          </w:p>
          <w:p w14:paraId="03B8E9B9">
            <w:pPr>
              <w:jc w:val="left"/>
              <w:rPr>
                <w:rFonts w:hint="eastAsia" w:ascii="宋体" w:hAnsi="宋体" w:eastAsia="宋体" w:cs="宋体"/>
                <w:szCs w:val="21"/>
                <w:lang w:val="en-US" w:eastAsia="zh-CN"/>
              </w:rPr>
            </w:pPr>
          </w:p>
        </w:tc>
      </w:tr>
      <w:tr w14:paraId="4D22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1525" w:type="dxa"/>
            <w:tcBorders>
              <w:bottom w:val="single" w:color="auto" w:sz="4" w:space="0"/>
            </w:tcBorders>
            <w:vAlign w:val="center"/>
          </w:tcPr>
          <w:p w14:paraId="3E90F2D6">
            <w:pPr>
              <w:jc w:val="center"/>
              <w:rPr>
                <w:rFonts w:hint="eastAsia" w:ascii="宋体" w:hAnsi="宋体" w:eastAsia="宋体" w:cs="宋体"/>
                <w:szCs w:val="21"/>
              </w:rPr>
            </w:pPr>
            <w:r>
              <w:rPr>
                <w:rFonts w:hint="eastAsia" w:ascii="宋体" w:hAnsi="宋体" w:eastAsia="宋体" w:cs="宋体"/>
                <w:szCs w:val="21"/>
              </w:rPr>
              <w:t>建信理财嘉鑫（稳利）法人版固收类按日开放式产品第28期</w:t>
            </w:r>
          </w:p>
        </w:tc>
        <w:tc>
          <w:tcPr>
            <w:tcW w:w="1688" w:type="dxa"/>
            <w:vAlign w:val="center"/>
          </w:tcPr>
          <w:p w14:paraId="62A501A6">
            <w:pPr>
              <w:jc w:val="both"/>
              <w:rPr>
                <w:rFonts w:hint="eastAsia" w:ascii="宋体" w:hAnsi="宋体" w:eastAsia="宋体" w:cs="宋体"/>
                <w:szCs w:val="21"/>
              </w:rPr>
            </w:pPr>
            <w:r>
              <w:rPr>
                <w:rFonts w:hint="eastAsia" w:ascii="宋体" w:hAnsi="宋体" w:eastAsia="宋体" w:cs="宋体"/>
                <w:szCs w:val="21"/>
              </w:rPr>
              <w:t>Z7000725000916</w:t>
            </w:r>
          </w:p>
        </w:tc>
        <w:tc>
          <w:tcPr>
            <w:tcW w:w="2547" w:type="dxa"/>
            <w:vMerge w:val="continue"/>
            <w:tcBorders/>
            <w:vAlign w:val="center"/>
          </w:tcPr>
          <w:p w14:paraId="5A49A519">
            <w:pPr>
              <w:jc w:val="left"/>
              <w:rPr>
                <w:rFonts w:ascii="宋体" w:hAnsi="宋体" w:eastAsia="宋体" w:cs="宋体"/>
                <w:szCs w:val="21"/>
              </w:rPr>
            </w:pPr>
          </w:p>
        </w:tc>
        <w:tc>
          <w:tcPr>
            <w:tcW w:w="2530" w:type="dxa"/>
            <w:vMerge w:val="continue"/>
            <w:tcBorders/>
            <w:vAlign w:val="center"/>
          </w:tcPr>
          <w:p w14:paraId="2469EDA6">
            <w:pPr>
              <w:jc w:val="left"/>
              <w:rPr>
                <w:rFonts w:hint="eastAsia" w:ascii="宋体" w:hAnsi="宋体" w:eastAsia="宋体" w:cs="宋体"/>
                <w:szCs w:val="21"/>
                <w:lang w:val="en-US" w:eastAsia="zh-CN"/>
              </w:rPr>
            </w:pPr>
          </w:p>
        </w:tc>
      </w:tr>
    </w:tbl>
    <w:p w14:paraId="5E035A56">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14:paraId="24E369F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6365D7F5">
      <w:pPr>
        <w:spacing w:line="560" w:lineRule="exact"/>
        <w:ind w:firstLine="640" w:firstLineChars="200"/>
        <w:rPr>
          <w:rFonts w:ascii="彩虹粗仿宋" w:eastAsia="彩虹粗仿宋"/>
          <w:sz w:val="32"/>
          <w:szCs w:val="32"/>
        </w:rPr>
      </w:pPr>
    </w:p>
    <w:p w14:paraId="079C2345">
      <w:pPr>
        <w:spacing w:line="560" w:lineRule="exact"/>
        <w:ind w:firstLine="640" w:firstLineChars="200"/>
        <w:rPr>
          <w:rFonts w:ascii="彩虹粗仿宋" w:eastAsia="彩虹粗仿宋"/>
          <w:sz w:val="32"/>
          <w:szCs w:val="32"/>
        </w:rPr>
      </w:pPr>
    </w:p>
    <w:p w14:paraId="20048943">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645096A">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1</w:t>
      </w:r>
      <w:r>
        <w:rPr>
          <w:rFonts w:hint="eastAsia" w:ascii="彩虹粗仿宋" w:eastAsia="彩虹粗仿宋"/>
          <w:sz w:val="32"/>
          <w:szCs w:val="32"/>
        </w:rPr>
        <w:t>月</w:t>
      </w:r>
      <w:r>
        <w:rPr>
          <w:rFonts w:hint="eastAsia" w:ascii="彩虹粗仿宋" w:eastAsia="彩虹粗仿宋"/>
          <w:sz w:val="32"/>
          <w:szCs w:val="32"/>
          <w:lang w:val="en-US" w:eastAsia="zh-CN"/>
        </w:rPr>
        <w:t>4</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2C74"/>
    <w:rsid w:val="00066939"/>
    <w:rsid w:val="001428A6"/>
    <w:rsid w:val="00185B11"/>
    <w:rsid w:val="0019582C"/>
    <w:rsid w:val="001C381B"/>
    <w:rsid w:val="001C3A7B"/>
    <w:rsid w:val="001E48B8"/>
    <w:rsid w:val="001F3AE1"/>
    <w:rsid w:val="00205C8A"/>
    <w:rsid w:val="00206F79"/>
    <w:rsid w:val="00214562"/>
    <w:rsid w:val="002532EE"/>
    <w:rsid w:val="00272D68"/>
    <w:rsid w:val="002A0A2D"/>
    <w:rsid w:val="002D3336"/>
    <w:rsid w:val="002E3ECE"/>
    <w:rsid w:val="002F2DAA"/>
    <w:rsid w:val="003171F2"/>
    <w:rsid w:val="00317C41"/>
    <w:rsid w:val="00326FE7"/>
    <w:rsid w:val="003357F0"/>
    <w:rsid w:val="003C5294"/>
    <w:rsid w:val="003D7CFA"/>
    <w:rsid w:val="004964F0"/>
    <w:rsid w:val="004B40CC"/>
    <w:rsid w:val="004C0C5D"/>
    <w:rsid w:val="004F0EE2"/>
    <w:rsid w:val="00505B5C"/>
    <w:rsid w:val="005158E6"/>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80F7C"/>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B2567"/>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50AB1"/>
    <w:rsid w:val="00F73D21"/>
    <w:rsid w:val="00FB504D"/>
    <w:rsid w:val="02E0612A"/>
    <w:rsid w:val="0987307F"/>
    <w:rsid w:val="098F08D1"/>
    <w:rsid w:val="0C79426C"/>
    <w:rsid w:val="0D2B4F84"/>
    <w:rsid w:val="0E9C7988"/>
    <w:rsid w:val="0F8B5CA9"/>
    <w:rsid w:val="11544F10"/>
    <w:rsid w:val="11AA0B06"/>
    <w:rsid w:val="126D0AE3"/>
    <w:rsid w:val="17770477"/>
    <w:rsid w:val="178F3168"/>
    <w:rsid w:val="1C9902E1"/>
    <w:rsid w:val="24072EE7"/>
    <w:rsid w:val="285E03C4"/>
    <w:rsid w:val="2E9E1850"/>
    <w:rsid w:val="30361181"/>
    <w:rsid w:val="34FD0C24"/>
    <w:rsid w:val="390B3E87"/>
    <w:rsid w:val="391110CE"/>
    <w:rsid w:val="3B480E17"/>
    <w:rsid w:val="47640CEC"/>
    <w:rsid w:val="4F595D1F"/>
    <w:rsid w:val="56007508"/>
    <w:rsid w:val="5A5C063B"/>
    <w:rsid w:val="66414EE1"/>
    <w:rsid w:val="7023338B"/>
    <w:rsid w:val="70934D31"/>
    <w:rsid w:val="71240003"/>
    <w:rsid w:val="71716B9F"/>
    <w:rsid w:val="73326FA2"/>
    <w:rsid w:val="746C0ADE"/>
    <w:rsid w:val="783F086B"/>
    <w:rsid w:val="78666EC3"/>
    <w:rsid w:val="7D29533D"/>
    <w:rsid w:val="7DC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4"/>
    <w:semiHidden/>
    <w:unhideWhenUsed/>
    <w:qFormat/>
    <w:uiPriority w:val="99"/>
    <w:pPr>
      <w:jc w:val="left"/>
    </w:p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5"/>
    <w:semiHidden/>
    <w:unhideWhenUsed/>
    <w:qFormat/>
    <w:uiPriority w:val="99"/>
    <w:rPr>
      <w:b/>
      <w:bCs/>
    </w:rPr>
  </w:style>
  <w:style w:type="paragraph" w:styleId="9">
    <w:name w:val="Balloon Text"/>
    <w:basedOn w:val="1"/>
    <w:link w:val="13"/>
    <w:semiHidden/>
    <w:unhideWhenUsed/>
    <w:qFormat/>
    <w:uiPriority w:val="99"/>
    <w:rPr>
      <w:sz w:val="18"/>
      <w:szCs w:val="18"/>
    </w:r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2"/>
    <w:link w:val="5"/>
    <w:qFormat/>
    <w:uiPriority w:val="99"/>
    <w:rPr>
      <w:sz w:val="18"/>
      <w:szCs w:val="18"/>
    </w:rPr>
  </w:style>
  <w:style w:type="character" w:customStyle="1" w:styleId="12">
    <w:name w:val="页脚 字符"/>
    <w:basedOn w:val="2"/>
    <w:link w:val="7"/>
    <w:qFormat/>
    <w:uiPriority w:val="99"/>
    <w:rPr>
      <w:sz w:val="18"/>
      <w:szCs w:val="18"/>
    </w:rPr>
  </w:style>
  <w:style w:type="character" w:customStyle="1" w:styleId="13">
    <w:name w:val="批注框文本 字符"/>
    <w:basedOn w:val="2"/>
    <w:link w:val="9"/>
    <w:semiHidden/>
    <w:qFormat/>
    <w:uiPriority w:val="99"/>
    <w:rPr>
      <w:sz w:val="18"/>
      <w:szCs w:val="18"/>
    </w:rPr>
  </w:style>
  <w:style w:type="character" w:customStyle="1" w:styleId="14">
    <w:name w:val="批注文字 字符"/>
    <w:basedOn w:val="2"/>
    <w:link w:val="6"/>
    <w:semiHidden/>
    <w:qFormat/>
    <w:uiPriority w:val="99"/>
  </w:style>
  <w:style w:type="character" w:customStyle="1" w:styleId="15">
    <w:name w:val="批注主题 字符"/>
    <w:basedOn w:val="14"/>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Lines>3</Lines>
  <Paragraphs>1</Paragraphs>
  <TotalTime>12</TotalTime>
  <ScaleCrop>false</ScaleCrop>
  <LinksUpToDate>false</LinksUpToDate>
  <CharactersWithSpaces>441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2025-09-28T09:52:00Z</dcterms:created>
  <dc:creator>产品管理部</dc:creator>
  <cp:lastModifiedBy>Easter Yu</cp:lastModifiedBy>
  <dcterms:modified xsi:type="dcterms:W3CDTF">2025-12-31T01:25:25Z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7F786667D8B945A4A95F545BDE4DE28D_13</vt:lpwstr>
  </property>
</Properties>
</file>