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eastAsia="zh-CN"/>
        </w:rPr>
        <w:t>建信理财嘉鑫（稳利）固收类最低持有30天产品第29期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告</w:t>
      </w:r>
      <w:bookmarkEnd w:id="0"/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拟对建信理财嘉鑫（稳利）固收类最低持有30天产品第29期进行销售费率和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建信理财嘉鑫（稳利）固收类最低持有30天产品第29期</w:t>
            </w:r>
          </w:p>
        </w:tc>
        <w:tc>
          <w:tcPr>
            <w:tcW w:w="1920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Z7000725001442</w:t>
            </w:r>
          </w:p>
        </w:tc>
        <w:tc>
          <w:tcPr>
            <w:tcW w:w="1785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0.15%</w:t>
            </w:r>
          </w:p>
        </w:tc>
      </w:tr>
    </w:tbl>
    <w:p w14:paraId="7BF93A9F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建信理财嘉鑫（稳利）固收类最低持有30天产品第29期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Z7000725001442</w:t>
            </w:r>
          </w:p>
        </w:tc>
        <w:tc>
          <w:tcPr>
            <w:tcW w:w="178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4D96401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2DA5C10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2026-01-07T07:36:40Z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