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E9" w:rsidRDefault="00D34FE9">
      <w:pPr>
        <w:spacing w:line="630" w:lineRule="atLeast"/>
        <w:jc w:val="right"/>
        <w:rPr>
          <w:b/>
          <w:bCs/>
          <w:sz w:val="32"/>
          <w:szCs w:val="32"/>
        </w:rPr>
      </w:pPr>
    </w:p>
    <w:p w:rsidR="00D34FE9" w:rsidRDefault="00BF1558">
      <w:pPr>
        <w:spacing w:line="630" w:lineRule="atLeast"/>
        <w:jc w:val="center"/>
        <w:rPr>
          <w:b/>
          <w:bCs/>
          <w:sz w:val="32"/>
          <w:szCs w:val="32"/>
        </w:rPr>
      </w:pPr>
      <w:r w:rsidRPr="00BF1558">
        <w:rPr>
          <w:rFonts w:hint="eastAsia"/>
          <w:b/>
          <w:bCs/>
          <w:sz w:val="32"/>
          <w:szCs w:val="32"/>
        </w:rPr>
        <w:t>建信理财嘉</w:t>
      </w:r>
      <w:proofErr w:type="gramStart"/>
      <w:r w:rsidRPr="00BF1558">
        <w:rPr>
          <w:rFonts w:hint="eastAsia"/>
          <w:b/>
          <w:bCs/>
          <w:sz w:val="32"/>
          <w:szCs w:val="32"/>
        </w:rPr>
        <w:t>鑫</w:t>
      </w:r>
      <w:proofErr w:type="gramEnd"/>
      <w:r w:rsidRPr="00BF1558">
        <w:rPr>
          <w:rFonts w:hint="eastAsia"/>
          <w:b/>
          <w:bCs/>
          <w:sz w:val="32"/>
          <w:szCs w:val="32"/>
        </w:rPr>
        <w:t>（稳利）</w:t>
      </w:r>
      <w:proofErr w:type="gramStart"/>
      <w:r w:rsidRPr="00BF1558">
        <w:rPr>
          <w:rFonts w:hint="eastAsia"/>
          <w:b/>
          <w:bCs/>
          <w:sz w:val="32"/>
          <w:szCs w:val="32"/>
        </w:rPr>
        <w:t>固收类</w:t>
      </w:r>
      <w:proofErr w:type="gramEnd"/>
      <w:r w:rsidRPr="00BF1558">
        <w:rPr>
          <w:rFonts w:hint="eastAsia"/>
          <w:b/>
          <w:bCs/>
          <w:sz w:val="32"/>
          <w:szCs w:val="32"/>
        </w:rPr>
        <w:t>按日开放式产品第</w:t>
      </w:r>
      <w:r w:rsidRPr="00BF1558">
        <w:rPr>
          <w:b/>
          <w:bCs/>
          <w:sz w:val="32"/>
          <w:szCs w:val="32"/>
        </w:rPr>
        <w:t>4期</w:t>
      </w:r>
      <w:r w:rsidR="00964FFA">
        <w:rPr>
          <w:rFonts w:hint="eastAsia"/>
          <w:b/>
          <w:bCs/>
          <w:sz w:val="32"/>
          <w:szCs w:val="32"/>
        </w:rPr>
        <w:br/>
        <w:t>2025年</w:t>
      </w:r>
      <w:r w:rsidR="001C10F9">
        <w:rPr>
          <w:rFonts w:hint="eastAsia"/>
          <w:b/>
          <w:bCs/>
          <w:sz w:val="32"/>
          <w:szCs w:val="32"/>
        </w:rPr>
        <w:t>三</w:t>
      </w:r>
      <w:r w:rsidR="00964FFA">
        <w:rPr>
          <w:rFonts w:hint="eastAsia"/>
          <w:b/>
          <w:bCs/>
          <w:sz w:val="32"/>
          <w:szCs w:val="32"/>
        </w:rPr>
        <w:t>季度关联交易信息披露公告</w:t>
      </w:r>
    </w:p>
    <w:p w:rsidR="00D34FE9" w:rsidRDefault="00D34FE9">
      <w:pPr>
        <w:spacing w:line="630" w:lineRule="atLeast"/>
        <w:jc w:val="center"/>
        <w:rPr>
          <w:b/>
          <w:bCs/>
          <w:sz w:val="32"/>
          <w:szCs w:val="32"/>
        </w:rPr>
      </w:pPr>
    </w:p>
    <w:p w:rsidR="00D34FE9" w:rsidRDefault="00D34FE9">
      <w:pPr>
        <w:ind w:firstLineChars="200" w:firstLine="420"/>
        <w:jc w:val="both"/>
        <w:rPr>
          <w:sz w:val="21"/>
          <w:szCs w:val="21"/>
        </w:rPr>
      </w:pPr>
    </w:p>
    <w:p w:rsidR="00D34FE9" w:rsidRPr="005F2A71" w:rsidRDefault="00D34FE9">
      <w:pPr>
        <w:jc w:val="both"/>
        <w:rPr>
          <w:sz w:val="21"/>
          <w:szCs w:val="21"/>
        </w:rPr>
      </w:pPr>
    </w:p>
    <w:p w:rsidR="00D34FE9" w:rsidRDefault="00D34FE9">
      <w:pPr>
        <w:jc w:val="both"/>
        <w:rPr>
          <w:sz w:val="21"/>
          <w:szCs w:val="21"/>
        </w:rPr>
      </w:pPr>
    </w:p>
    <w:p w:rsidR="00D34FE9" w:rsidRDefault="00D34FE9">
      <w:pPr>
        <w:jc w:val="both"/>
        <w:rPr>
          <w:sz w:val="21"/>
          <w:szCs w:val="21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Pr="00F14BB5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B97ED4">
        <w:rPr>
          <w:rFonts w:hint="eastAsia"/>
          <w:sz w:val="30"/>
          <w:szCs w:val="30"/>
        </w:rPr>
        <w:t>0</w:t>
      </w:r>
      <w:r w:rsidR="001C10F9"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 w:rsidR="00B97ED4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1日至2025年</w:t>
      </w:r>
      <w:r w:rsidR="00B97ED4">
        <w:rPr>
          <w:rFonts w:hint="eastAsia"/>
          <w:sz w:val="30"/>
          <w:szCs w:val="30"/>
        </w:rPr>
        <w:t>0</w:t>
      </w:r>
      <w:bookmarkStart w:id="0" w:name="_GoBack"/>
      <w:bookmarkEnd w:id="0"/>
      <w:r w:rsidR="001C10F9"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月3</w:t>
      </w:r>
      <w:r w:rsidR="005F2A71"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日</w:t>
      </w: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964FF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1" w:name="_Toc135731269"/>
    </w:p>
    <w:p w:rsidR="00D34FE9" w:rsidRDefault="00D34FE9">
      <w:pPr>
        <w:rPr>
          <w:sz w:val="21"/>
          <w:szCs w:val="21"/>
        </w:rPr>
      </w:pPr>
      <w:bookmarkStart w:id="2" w:name="_Toc11451"/>
      <w:bookmarkStart w:id="3" w:name="_Toc30495"/>
      <w:bookmarkEnd w:id="1"/>
    </w:p>
    <w:p w:rsidR="00D34FE9" w:rsidRDefault="00964FFA">
      <w:pPr>
        <w:spacing w:line="555" w:lineRule="atLeast"/>
        <w:outlineLvl w:val="1"/>
        <w:rPr>
          <w:b/>
          <w:bCs/>
        </w:rPr>
      </w:pPr>
      <w:bookmarkStart w:id="4" w:name="_Toc135731279"/>
      <w:r>
        <w:rPr>
          <w:rFonts w:hint="eastAsia"/>
          <w:b/>
          <w:bCs/>
        </w:rPr>
        <w:t>1.报告期内关联交易情况</w:t>
      </w:r>
      <w:bookmarkEnd w:id="4"/>
    </w:p>
    <w:p w:rsidR="00D34FE9" w:rsidRDefault="00D34FE9">
      <w:pPr>
        <w:spacing w:line="400" w:lineRule="exact"/>
        <w:rPr>
          <w:b/>
          <w:sz w:val="30"/>
          <w:szCs w:val="30"/>
        </w:rPr>
      </w:pPr>
    </w:p>
    <w:bookmarkEnd w:id="2"/>
    <w:bookmarkEnd w:id="3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5"/>
        <w:gridCol w:w="1267"/>
        <w:gridCol w:w="2551"/>
        <w:gridCol w:w="1476"/>
        <w:gridCol w:w="944"/>
        <w:gridCol w:w="1593"/>
      </w:tblGrid>
      <w:tr w:rsidR="00D34FE9" w:rsidTr="00F14BB5">
        <w:trPr>
          <w:trHeight w:val="61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34FE9" w:rsidTr="00F14B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D34FE9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34FE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D34FE9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BF1558" w:rsidRPr="005F2A71" w:rsidTr="005F2A71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606083022"/>
              <w:rPr>
                <w:sz w:val="21"/>
              </w:rPr>
            </w:pPr>
            <w:r w:rsidRPr="006A049D">
              <w:rPr>
                <w:sz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577591946"/>
              <w:rPr>
                <w:sz w:val="21"/>
              </w:rPr>
            </w:pPr>
            <w:r w:rsidRPr="006A049D">
              <w:rPr>
                <w:sz w:val="21"/>
              </w:rPr>
              <w:t>建</w:t>
            </w:r>
            <w:proofErr w:type="gramStart"/>
            <w:r w:rsidRPr="006A049D">
              <w:rPr>
                <w:sz w:val="21"/>
              </w:rPr>
              <w:t>信资本</w:t>
            </w:r>
            <w:proofErr w:type="gramEnd"/>
            <w:r w:rsidRPr="006A049D">
              <w:rPr>
                <w:sz w:val="21"/>
              </w:rPr>
              <w:t>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1954433452"/>
              <w:rPr>
                <w:sz w:val="21"/>
              </w:rPr>
            </w:pPr>
            <w:r w:rsidRPr="006A049D">
              <w:rPr>
                <w:sz w:val="21"/>
              </w:rPr>
              <w:t>JXZBWL8H.OF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2061318646"/>
              <w:rPr>
                <w:sz w:val="21"/>
              </w:rPr>
            </w:pPr>
            <w:r w:rsidRPr="006A049D">
              <w:rPr>
                <w:sz w:val="21"/>
              </w:rPr>
              <w:t>建</w:t>
            </w:r>
            <w:proofErr w:type="gramStart"/>
            <w:r w:rsidRPr="006A049D">
              <w:rPr>
                <w:sz w:val="21"/>
              </w:rPr>
              <w:t>信资本稳利</w:t>
            </w:r>
            <w:proofErr w:type="gramEnd"/>
            <w:r w:rsidRPr="006A049D">
              <w:rPr>
                <w:sz w:val="21"/>
              </w:rPr>
              <w:t>8号集合资产管理计划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881331716"/>
              <w:rPr>
                <w:sz w:val="21"/>
              </w:rPr>
            </w:pPr>
            <w:r w:rsidRPr="006A049D">
              <w:rPr>
                <w:sz w:val="21"/>
              </w:rPr>
              <w:t>1,101.02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bookmarkStart w:id="5" w:name="_Toc30906"/>
      <w:r>
        <w:rPr>
          <w:rFonts w:hint="eastAsia"/>
          <w:b/>
          <w:bCs/>
        </w:rPr>
        <w:t>1.4其他关联交易</w:t>
      </w:r>
      <w:bookmarkEnd w:id="5"/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D34FE9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BF1558" w:rsidTr="006A049D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604460654"/>
              <w:rPr>
                <w:sz w:val="21"/>
                <w:szCs w:val="21"/>
              </w:rPr>
            </w:pPr>
            <w:r w:rsidRPr="006A049D">
              <w:rPr>
                <w:sz w:val="21"/>
                <w:szCs w:val="21"/>
              </w:rPr>
              <w:t>1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wordWrap w:val="0"/>
              <w:spacing w:line="345" w:lineRule="atLeast"/>
              <w:jc w:val="center"/>
              <w:divId w:val="84813450"/>
              <w:rPr>
                <w:sz w:val="21"/>
                <w:szCs w:val="21"/>
              </w:rPr>
            </w:pPr>
            <w:r w:rsidRPr="006A049D">
              <w:rPr>
                <w:sz w:val="21"/>
                <w:szCs w:val="21"/>
              </w:rPr>
              <w:t>代销费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wordWrap w:val="0"/>
              <w:spacing w:line="345" w:lineRule="atLeast"/>
              <w:jc w:val="center"/>
              <w:divId w:val="335234662"/>
              <w:rPr>
                <w:sz w:val="21"/>
                <w:szCs w:val="21"/>
              </w:rPr>
            </w:pPr>
            <w:r w:rsidRPr="006A049D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wordWrap w:val="0"/>
              <w:spacing w:line="345" w:lineRule="atLeast"/>
              <w:jc w:val="center"/>
              <w:divId w:val="1404520914"/>
              <w:rPr>
                <w:sz w:val="21"/>
                <w:szCs w:val="21"/>
              </w:rPr>
            </w:pPr>
            <w:r w:rsidRPr="006A049D">
              <w:rPr>
                <w:sz w:val="21"/>
                <w:szCs w:val="21"/>
              </w:rPr>
              <w:t>14,335.87</w:t>
            </w:r>
          </w:p>
        </w:tc>
      </w:tr>
      <w:tr w:rsidR="00BF1558" w:rsidTr="006A049D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344018944"/>
              <w:rPr>
                <w:sz w:val="21"/>
                <w:szCs w:val="21"/>
              </w:rPr>
            </w:pPr>
            <w:r w:rsidRPr="006A049D">
              <w:rPr>
                <w:sz w:val="21"/>
                <w:szCs w:val="21"/>
              </w:rPr>
              <w:t>2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1149251566"/>
              <w:rPr>
                <w:sz w:val="21"/>
                <w:szCs w:val="21"/>
              </w:rPr>
            </w:pPr>
            <w:r w:rsidRPr="006A049D">
              <w:rPr>
                <w:sz w:val="21"/>
                <w:szCs w:val="21"/>
              </w:rPr>
              <w:t>托管费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1181241187"/>
              <w:rPr>
                <w:sz w:val="21"/>
                <w:szCs w:val="21"/>
              </w:rPr>
            </w:pPr>
            <w:r w:rsidRPr="006A049D">
              <w:rPr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558" w:rsidRPr="006A049D" w:rsidRDefault="00BF1558" w:rsidP="006A049D">
            <w:pPr>
              <w:jc w:val="center"/>
              <w:divId w:val="630987156"/>
              <w:rPr>
                <w:sz w:val="21"/>
                <w:szCs w:val="21"/>
              </w:rPr>
            </w:pPr>
            <w:r w:rsidRPr="006A049D">
              <w:rPr>
                <w:sz w:val="21"/>
                <w:szCs w:val="21"/>
              </w:rPr>
              <w:t>3,184.18</w:t>
            </w:r>
          </w:p>
        </w:tc>
      </w:tr>
    </w:tbl>
    <w:p w:rsidR="00964FFA" w:rsidRDefault="00964FFA">
      <w:pPr>
        <w:rPr>
          <w:b/>
          <w:sz w:val="28"/>
          <w:szCs w:val="28"/>
        </w:rPr>
      </w:pPr>
    </w:p>
    <w:sectPr w:rsidR="00964FF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AB" w:rsidRDefault="005323AB">
      <w:r>
        <w:separator/>
      </w:r>
    </w:p>
  </w:endnote>
  <w:endnote w:type="continuationSeparator" w:id="0">
    <w:p w:rsidR="005323AB" w:rsidRDefault="0053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E9" w:rsidRDefault="00964FFA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952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4FE9" w:rsidRDefault="00964FFA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B97ED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B97ED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D34FE9" w:rsidRDefault="00964FFA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B97ED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B97ED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AB" w:rsidRDefault="005323AB">
      <w:r>
        <w:separator/>
      </w:r>
    </w:p>
  </w:footnote>
  <w:footnote w:type="continuationSeparator" w:id="0">
    <w:p w:rsidR="005323AB" w:rsidRDefault="00532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E9" w:rsidRDefault="00D84EC6">
    <w:pPr>
      <w:pStyle w:val="a7"/>
      <w:rPr>
        <w:sz w:val="15"/>
        <w:szCs w:val="15"/>
      </w:rPr>
    </w:pPr>
    <w:r w:rsidRPr="00D84EC6">
      <w:rPr>
        <w:rFonts w:hint="eastAsia"/>
        <w:sz w:val="15"/>
        <w:szCs w:val="15"/>
      </w:rPr>
      <w:t>建信理财嘉</w:t>
    </w:r>
    <w:proofErr w:type="gramStart"/>
    <w:r w:rsidRPr="00D84EC6">
      <w:rPr>
        <w:rFonts w:hint="eastAsia"/>
        <w:sz w:val="15"/>
        <w:szCs w:val="15"/>
      </w:rPr>
      <w:t>鑫</w:t>
    </w:r>
    <w:proofErr w:type="gramEnd"/>
    <w:r w:rsidRPr="00D84EC6">
      <w:rPr>
        <w:rFonts w:hint="eastAsia"/>
        <w:sz w:val="15"/>
        <w:szCs w:val="15"/>
      </w:rPr>
      <w:t>（稳利）</w:t>
    </w:r>
    <w:proofErr w:type="gramStart"/>
    <w:r w:rsidRPr="00D84EC6">
      <w:rPr>
        <w:rFonts w:hint="eastAsia"/>
        <w:sz w:val="15"/>
        <w:szCs w:val="15"/>
      </w:rPr>
      <w:t>固收类</w:t>
    </w:r>
    <w:proofErr w:type="gramEnd"/>
    <w:r w:rsidRPr="00D84EC6">
      <w:rPr>
        <w:rFonts w:hint="eastAsia"/>
        <w:sz w:val="15"/>
        <w:szCs w:val="15"/>
      </w:rPr>
      <w:t>按日开放式产品第</w:t>
    </w:r>
    <w:r w:rsidRPr="00D84EC6">
      <w:rPr>
        <w:sz w:val="15"/>
        <w:szCs w:val="15"/>
      </w:rPr>
      <w:t>4期</w:t>
    </w:r>
    <w:r w:rsidR="00964FFA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三</w:t>
    </w:r>
    <w:r w:rsidR="00964FFA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7"/>
    <w:rsid w:val="000A1F5A"/>
    <w:rsid w:val="0012136E"/>
    <w:rsid w:val="001A0196"/>
    <w:rsid w:val="001C10F9"/>
    <w:rsid w:val="00434C16"/>
    <w:rsid w:val="005323AB"/>
    <w:rsid w:val="0054470B"/>
    <w:rsid w:val="005C17E7"/>
    <w:rsid w:val="005F2A71"/>
    <w:rsid w:val="006A049D"/>
    <w:rsid w:val="0077490E"/>
    <w:rsid w:val="00823D5A"/>
    <w:rsid w:val="0089512D"/>
    <w:rsid w:val="00964FFA"/>
    <w:rsid w:val="00B97ED4"/>
    <w:rsid w:val="00BF1558"/>
    <w:rsid w:val="00C15DD2"/>
    <w:rsid w:val="00D34FE9"/>
    <w:rsid w:val="00D84EC6"/>
    <w:rsid w:val="00EB0E28"/>
    <w:rsid w:val="00F14BB5"/>
    <w:rsid w:val="00F46367"/>
    <w:rsid w:val="00FB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21671"/>
  <w15:chartTrackingRefBased/>
  <w15:docId w15:val="{286BEC4B-D6F4-43F1-8242-BCA92327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CFCFC-4279-472A-A965-A1C00475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2</TotalTime>
  <Pages>2</Pages>
  <Words>72</Words>
  <Characters>415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6</cp:revision>
  <cp:lastPrinted>2023-03-23T06:51:00Z</cp:lastPrinted>
  <dcterms:created xsi:type="dcterms:W3CDTF">2025-12-29T07:39:00Z</dcterms:created>
  <dcterms:modified xsi:type="dcterms:W3CDTF">2025-12-30T13:01:00Z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