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65" w:rsidRDefault="00C13265">
      <w:pPr>
        <w:spacing w:line="630" w:lineRule="atLeast"/>
        <w:jc w:val="right"/>
        <w:rPr>
          <w:b/>
          <w:bCs/>
          <w:sz w:val="32"/>
          <w:szCs w:val="32"/>
        </w:rPr>
      </w:pPr>
    </w:p>
    <w:p w:rsidR="00C13265" w:rsidRDefault="005674E2">
      <w:pPr>
        <w:spacing w:line="63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建信理财嘉</w:t>
      </w:r>
      <w:proofErr w:type="gramStart"/>
      <w:r>
        <w:rPr>
          <w:rFonts w:hint="eastAsia"/>
          <w:b/>
          <w:bCs/>
          <w:sz w:val="32"/>
          <w:szCs w:val="32"/>
        </w:rPr>
        <w:t>鑫</w:t>
      </w:r>
      <w:proofErr w:type="gramEnd"/>
      <w:r>
        <w:rPr>
          <w:rFonts w:hint="eastAsia"/>
          <w:b/>
          <w:bCs/>
          <w:sz w:val="32"/>
          <w:szCs w:val="32"/>
        </w:rPr>
        <w:t>（稳利）</w:t>
      </w:r>
      <w:proofErr w:type="gramStart"/>
      <w:r>
        <w:rPr>
          <w:rFonts w:hint="eastAsia"/>
          <w:b/>
          <w:bCs/>
          <w:sz w:val="32"/>
          <w:szCs w:val="32"/>
        </w:rPr>
        <w:t>固收类</w:t>
      </w:r>
      <w:proofErr w:type="gramEnd"/>
      <w:r>
        <w:rPr>
          <w:rFonts w:hint="eastAsia"/>
          <w:b/>
          <w:bCs/>
          <w:sz w:val="32"/>
          <w:szCs w:val="32"/>
        </w:rPr>
        <w:t>最低持有14天产品第5期2025年</w:t>
      </w:r>
      <w:r w:rsidR="008876D1">
        <w:rPr>
          <w:rFonts w:hint="eastAsia"/>
          <w:b/>
          <w:bCs/>
          <w:sz w:val="32"/>
          <w:szCs w:val="32"/>
        </w:rPr>
        <w:t>三</w:t>
      </w:r>
      <w:r>
        <w:rPr>
          <w:rFonts w:hint="eastAsia"/>
          <w:b/>
          <w:bCs/>
          <w:sz w:val="32"/>
          <w:szCs w:val="32"/>
        </w:rPr>
        <w:t>季度关联交易信息披露公告</w:t>
      </w:r>
    </w:p>
    <w:p w:rsidR="00C13265" w:rsidRDefault="00C13265">
      <w:pPr>
        <w:ind w:firstLineChars="200" w:firstLine="420"/>
        <w:jc w:val="both"/>
        <w:rPr>
          <w:sz w:val="21"/>
          <w:szCs w:val="21"/>
        </w:rPr>
      </w:pPr>
    </w:p>
    <w:p w:rsidR="00C13265" w:rsidRDefault="00C13265">
      <w:pPr>
        <w:jc w:val="both"/>
        <w:rPr>
          <w:sz w:val="21"/>
          <w:szCs w:val="21"/>
        </w:rPr>
      </w:pPr>
    </w:p>
    <w:p w:rsidR="00C13265" w:rsidRDefault="00C13265">
      <w:pPr>
        <w:jc w:val="both"/>
        <w:rPr>
          <w:sz w:val="21"/>
          <w:szCs w:val="21"/>
        </w:rPr>
      </w:pPr>
    </w:p>
    <w:p w:rsidR="00C13265" w:rsidRDefault="00C13265">
      <w:pPr>
        <w:jc w:val="both"/>
        <w:rPr>
          <w:sz w:val="21"/>
          <w:szCs w:val="21"/>
        </w:rPr>
      </w:pPr>
    </w:p>
    <w:p w:rsidR="00C13265" w:rsidRDefault="00C13265">
      <w:pPr>
        <w:spacing w:line="555" w:lineRule="atLeast"/>
        <w:rPr>
          <w:sz w:val="28"/>
          <w:szCs w:val="28"/>
        </w:rPr>
      </w:pPr>
    </w:p>
    <w:p w:rsidR="00C13265" w:rsidRDefault="00C13265">
      <w:pPr>
        <w:spacing w:line="555" w:lineRule="atLeast"/>
        <w:rPr>
          <w:sz w:val="28"/>
          <w:szCs w:val="28"/>
        </w:rPr>
      </w:pPr>
    </w:p>
    <w:p w:rsidR="00C13265" w:rsidRDefault="00C13265">
      <w:pPr>
        <w:spacing w:line="555" w:lineRule="atLeast"/>
        <w:rPr>
          <w:sz w:val="28"/>
          <w:szCs w:val="28"/>
        </w:rPr>
      </w:pPr>
    </w:p>
    <w:p w:rsidR="00C13265" w:rsidRDefault="00C13265">
      <w:pPr>
        <w:spacing w:line="555" w:lineRule="atLeast"/>
        <w:rPr>
          <w:sz w:val="28"/>
          <w:szCs w:val="28"/>
        </w:rPr>
      </w:pPr>
    </w:p>
    <w:p w:rsidR="00C13265" w:rsidRDefault="00C13265">
      <w:pPr>
        <w:spacing w:line="555" w:lineRule="atLeast"/>
        <w:rPr>
          <w:sz w:val="28"/>
          <w:szCs w:val="28"/>
        </w:rPr>
      </w:pPr>
    </w:p>
    <w:p w:rsidR="00C13265" w:rsidRDefault="00C13265">
      <w:pPr>
        <w:spacing w:line="555" w:lineRule="atLeast"/>
        <w:rPr>
          <w:sz w:val="28"/>
          <w:szCs w:val="28"/>
        </w:rPr>
      </w:pPr>
    </w:p>
    <w:p w:rsidR="00C13265" w:rsidRDefault="00C13265">
      <w:pPr>
        <w:spacing w:line="555" w:lineRule="atLeast"/>
        <w:rPr>
          <w:sz w:val="28"/>
          <w:szCs w:val="28"/>
        </w:rPr>
      </w:pPr>
    </w:p>
    <w:p w:rsidR="00C13265" w:rsidRDefault="00C13265">
      <w:pPr>
        <w:spacing w:line="555" w:lineRule="atLeast"/>
        <w:rPr>
          <w:sz w:val="30"/>
          <w:szCs w:val="30"/>
        </w:rPr>
      </w:pPr>
    </w:p>
    <w:p w:rsidR="00C13265" w:rsidRDefault="00C13265">
      <w:pPr>
        <w:spacing w:line="555" w:lineRule="atLeast"/>
        <w:rPr>
          <w:sz w:val="30"/>
          <w:szCs w:val="30"/>
        </w:rPr>
      </w:pPr>
    </w:p>
    <w:p w:rsidR="00C13265" w:rsidRDefault="00C13265">
      <w:pPr>
        <w:spacing w:line="555" w:lineRule="atLeast"/>
        <w:rPr>
          <w:sz w:val="30"/>
          <w:szCs w:val="30"/>
        </w:rPr>
      </w:pPr>
    </w:p>
    <w:p w:rsidR="00C13265" w:rsidRDefault="005674E2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C13265" w:rsidRDefault="005674E2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C13265" w:rsidRDefault="005674E2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342AEC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7月01日至2025年</w:t>
      </w:r>
      <w:r w:rsidR="00342AEC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9月30日</w:t>
      </w:r>
    </w:p>
    <w:p w:rsidR="00C13265" w:rsidRDefault="00C13265">
      <w:pPr>
        <w:spacing w:line="555" w:lineRule="atLeast"/>
        <w:rPr>
          <w:sz w:val="28"/>
          <w:szCs w:val="28"/>
        </w:rPr>
      </w:pPr>
    </w:p>
    <w:p w:rsidR="00C13265" w:rsidRDefault="00C13265">
      <w:pPr>
        <w:spacing w:line="555" w:lineRule="atLeast"/>
        <w:rPr>
          <w:sz w:val="28"/>
          <w:szCs w:val="28"/>
        </w:rPr>
      </w:pPr>
    </w:p>
    <w:p w:rsidR="00C13265" w:rsidRDefault="005674E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0" w:name="_Toc135731269"/>
    </w:p>
    <w:p w:rsidR="00C13265" w:rsidRDefault="00C13265">
      <w:pPr>
        <w:rPr>
          <w:sz w:val="21"/>
          <w:szCs w:val="21"/>
        </w:rPr>
      </w:pPr>
      <w:bookmarkStart w:id="1" w:name="_Toc30495"/>
      <w:bookmarkStart w:id="2" w:name="_Toc11451"/>
      <w:bookmarkEnd w:id="0"/>
    </w:p>
    <w:p w:rsidR="00C13265" w:rsidRDefault="005674E2">
      <w:pPr>
        <w:spacing w:line="555" w:lineRule="atLeast"/>
        <w:outlineLvl w:val="1"/>
        <w:rPr>
          <w:b/>
          <w:bCs/>
        </w:rPr>
      </w:pPr>
      <w:bookmarkStart w:id="3" w:name="_Toc135731279"/>
      <w:r>
        <w:rPr>
          <w:rFonts w:hint="eastAsia"/>
          <w:b/>
          <w:bCs/>
        </w:rPr>
        <w:t>1.报告期内关联交易情况</w:t>
      </w:r>
      <w:bookmarkEnd w:id="3"/>
    </w:p>
    <w:p w:rsidR="00C13265" w:rsidRDefault="00C13265">
      <w:pPr>
        <w:spacing w:line="400" w:lineRule="exact"/>
        <w:rPr>
          <w:b/>
          <w:sz w:val="30"/>
          <w:szCs w:val="30"/>
        </w:rPr>
      </w:pPr>
    </w:p>
    <w:bookmarkEnd w:id="1"/>
    <w:bookmarkEnd w:id="2"/>
    <w:p w:rsidR="00C13265" w:rsidRDefault="005674E2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C13265" w:rsidRDefault="00C13265">
      <w:pPr>
        <w:rPr>
          <w:rFonts w:hint="eastAsia"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7"/>
        <w:gridCol w:w="1526"/>
        <w:gridCol w:w="1826"/>
        <w:gridCol w:w="1161"/>
        <w:gridCol w:w="1434"/>
        <w:gridCol w:w="1812"/>
      </w:tblGrid>
      <w:tr w:rsidR="00516DBB" w:rsidTr="00A21DD8">
        <w:trPr>
          <w:trHeight w:val="6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16DBB" w:rsidRDefault="00516DBB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16DBB" w:rsidRDefault="00516DBB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16DBB" w:rsidRDefault="00516DBB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16DBB" w:rsidRDefault="00516DBB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16DBB" w:rsidRDefault="00516DBB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516DBB" w:rsidTr="00516DB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Default="00516DBB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Default="00516DBB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Default="00516DBB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B" w:rsidRDefault="00516DBB" w:rsidP="00A21DD8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6DBB" w:rsidRDefault="00516DBB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6DBB" w:rsidRDefault="00516DBB" w:rsidP="00A21DD8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  <w:tr w:rsidR="00516DBB" w:rsidTr="00516DB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建信基金管理有限责任公司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</w:t>
            </w:r>
            <w:proofErr w:type="gramStart"/>
            <w:r w:rsidRPr="00516DBB">
              <w:rPr>
                <w:sz w:val="21"/>
              </w:rPr>
              <w:t>信稳定</w:t>
            </w:r>
            <w:proofErr w:type="gramEnd"/>
            <w:r w:rsidRPr="00516DBB">
              <w:rPr>
                <w:sz w:val="21"/>
              </w:rPr>
              <w:t>得利债券型证券投资基金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000875.OF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6693373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9,999,900.00</w:t>
            </w:r>
          </w:p>
        </w:tc>
      </w:tr>
    </w:tbl>
    <w:p w:rsidR="00516DBB" w:rsidRDefault="00516DBB"/>
    <w:p w:rsidR="00516DBB" w:rsidRDefault="00516DBB">
      <w:pPr>
        <w:rPr>
          <w:rFonts w:hint="eastAsia"/>
        </w:rPr>
      </w:pPr>
    </w:p>
    <w:p w:rsidR="00C13265" w:rsidRDefault="005674E2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C13265" w:rsidRDefault="00C13265">
      <w:pPr>
        <w:spacing w:line="400" w:lineRule="exact"/>
        <w:jc w:val="both"/>
        <w:rPr>
          <w:b/>
          <w:bCs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1451"/>
        <w:gridCol w:w="2660"/>
        <w:gridCol w:w="1559"/>
        <w:gridCol w:w="1028"/>
        <w:gridCol w:w="2091"/>
      </w:tblGrid>
      <w:tr w:rsidR="00C13265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13265" w:rsidRDefault="005674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13265" w:rsidRDefault="005674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13265" w:rsidRDefault="005674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13265" w:rsidRDefault="005674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C13265" w:rsidRDefault="005674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C1326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65" w:rsidRDefault="00C1326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65" w:rsidRDefault="00C1326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65" w:rsidRDefault="00C1326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265" w:rsidRDefault="00C1326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265" w:rsidRDefault="005674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3265" w:rsidRDefault="005674E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重庆保税港区开发管理集团有限公司2025年度第一期超短期融资</w:t>
            </w:r>
            <w:proofErr w:type="gramStart"/>
            <w:r w:rsidRPr="00516DBB">
              <w:rPr>
                <w:rFonts w:hint="eastAsia"/>
                <w:sz w:val="21"/>
              </w:rPr>
              <w:t>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012580806.IB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300000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30,254,055.62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广东省环保集团有限公司2025年度第二期超短期融资</w:t>
            </w:r>
            <w:proofErr w:type="gramStart"/>
            <w:r w:rsidRPr="00516DBB">
              <w:rPr>
                <w:rFonts w:hint="eastAsia"/>
                <w:sz w:val="21"/>
              </w:rPr>
              <w:t>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012581915.IB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14999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1,499,661.15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江苏省广电有线信息网络股份有限公司2025年度第八期科技创新债券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012581980.IB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11999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1,199,895.24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扬州市交通产业集团有限责任公司2025年度第一期</w:t>
            </w:r>
            <w:proofErr w:type="gramStart"/>
            <w:r w:rsidRPr="00516DBB">
              <w:rPr>
                <w:rFonts w:hint="eastAsia"/>
                <w:sz w:val="21"/>
              </w:rPr>
              <w:t>绿色超</w:t>
            </w:r>
            <w:proofErr w:type="gramEnd"/>
            <w:r w:rsidRPr="00516DBB">
              <w:rPr>
                <w:rFonts w:hint="eastAsia"/>
                <w:sz w:val="21"/>
              </w:rPr>
              <w:t>短期融资</w:t>
            </w:r>
            <w:proofErr w:type="gramStart"/>
            <w:r w:rsidRPr="00516DBB">
              <w:rPr>
                <w:rFonts w:hint="eastAsia"/>
                <w:sz w:val="21"/>
              </w:rPr>
              <w:t>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012582103.IB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8999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900,643.88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proofErr w:type="gramStart"/>
            <w:r w:rsidRPr="00516DBB">
              <w:rPr>
                <w:rFonts w:hint="eastAsia"/>
                <w:sz w:val="21"/>
              </w:rPr>
              <w:t>国投泰康</w:t>
            </w:r>
            <w:proofErr w:type="gramEnd"/>
            <w:r w:rsidRPr="00516DBB">
              <w:rPr>
                <w:rFonts w:hint="eastAsia"/>
                <w:sz w:val="21"/>
              </w:rPr>
              <w:t>信托有限公司</w:t>
            </w:r>
            <w:proofErr w:type="gramStart"/>
            <w:r w:rsidRPr="00516DBB">
              <w:rPr>
                <w:rFonts w:hint="eastAsia"/>
                <w:sz w:val="21"/>
              </w:rPr>
              <w:t>2025年度惠诗第五期</w:t>
            </w:r>
            <w:proofErr w:type="gramEnd"/>
            <w:r w:rsidRPr="00516DBB">
              <w:rPr>
                <w:rFonts w:hint="eastAsia"/>
                <w:sz w:val="21"/>
              </w:rPr>
              <w:t>定向资产支持票据优先A档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082580797.IB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1000000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100,000,000.00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金泰产融(北京)创业投资基金管理有限公司2025年度第一期</w:t>
            </w:r>
            <w:proofErr w:type="gramStart"/>
            <w:r w:rsidRPr="00516DBB">
              <w:rPr>
                <w:rFonts w:hint="eastAsia"/>
                <w:sz w:val="21"/>
              </w:rPr>
              <w:t>本钢北营</w:t>
            </w:r>
            <w:proofErr w:type="gramEnd"/>
            <w:r w:rsidRPr="00516DBB">
              <w:rPr>
                <w:rFonts w:hint="eastAsia"/>
                <w:sz w:val="21"/>
              </w:rPr>
              <w:t>绿色科技创新定向资产支持证券(类REITs)优先级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082580907.IB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50242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5,024,241.79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中国进出口银行2024年第二期绿色金融债券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09240302.IB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11999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1,200,326.02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南昌轨道交通集团有限公司2023年度第一期绿色中期票据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102380053.IB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5999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617,166.76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lastRenderedPageBreak/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proofErr w:type="gramStart"/>
            <w:r w:rsidRPr="00516DBB">
              <w:rPr>
                <w:rFonts w:hint="eastAsia"/>
                <w:sz w:val="21"/>
              </w:rPr>
              <w:t>晋能控股</w:t>
            </w:r>
            <w:proofErr w:type="gramEnd"/>
            <w:r w:rsidRPr="00516DBB">
              <w:rPr>
                <w:rFonts w:hint="eastAsia"/>
                <w:sz w:val="21"/>
              </w:rPr>
              <w:t>煤业集团有限公司2023年度第三期中期票据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102381913.IB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300000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30,536,357.67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南昌市建设投资集团有限公司2024年度第二期中期票据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102481909.IB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900000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91,062,939.45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贵州高速公路集团有限公司2024年度第十期中期票据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102483950.IB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1000000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102,516,267.10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福建省高速公路集团有限公司2025年度第一期中期票据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102583530.IB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3000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299,973.81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中国南方航空股份有限公司2025年度第四期中期票据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102583550.IB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5999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599,947.62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南昌轨道交通集团有限公司2025年度第二期中期票据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102583910.IB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7186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718,630.23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云南省交通投资建设集团有限公司2025年度第八期中期票据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102583913.IB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21559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2,155,890.69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南昌轨道交通集团有限公司2025年度第一期绿色中期票据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102583924.IB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14373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1,437,260.46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山东高速集团有限公司2025年度第七期中期票据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102583931.IB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8374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837,373.63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福建华电福瑞能源发展有限公司2025年度第三期中期票据(能源保供特别债)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102583934.IB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83737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8,373,736.31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中国南方航空股份有限公司2025年度第六期中期票据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102584024.IB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92111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9,211,109.94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中国银行股份有限公司2021年二级资本债券(第一期)(品种</w:t>
            </w:r>
            <w:proofErr w:type="gramStart"/>
            <w:r w:rsidRPr="00516DBB">
              <w:rPr>
                <w:rFonts w:hint="eastAsia"/>
                <w:sz w:val="21"/>
              </w:rPr>
              <w:t>一</w:t>
            </w:r>
            <w:proofErr w:type="gramEnd"/>
            <w:r w:rsidRPr="00516DBB">
              <w:rPr>
                <w:rFonts w:hint="eastAsia"/>
                <w:sz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2128008.IB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500000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51,588,754.11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中国银行股份有限公司2021年无固定期限资本债券(第一期)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2128019.IB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500000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51,400,776.03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国家开发银行2022年第一期\"债券通\"绿色金融债券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2202001QF.IB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20998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2,159,881.90</w:t>
            </w:r>
          </w:p>
        </w:tc>
      </w:tr>
      <w:tr w:rsidR="00C1326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中国建设银行股份有限公司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2025年</w:t>
            </w:r>
            <w:proofErr w:type="gramStart"/>
            <w:r w:rsidRPr="00516DBB">
              <w:rPr>
                <w:rFonts w:hint="eastAsia"/>
                <w:sz w:val="21"/>
              </w:rPr>
              <w:t>奇瑞徽银汽车</w:t>
            </w:r>
            <w:proofErr w:type="gramEnd"/>
            <w:r w:rsidRPr="00516DBB">
              <w:rPr>
                <w:rFonts w:hint="eastAsia"/>
                <w:sz w:val="21"/>
              </w:rPr>
              <w:t>金融股份有限公司第三期绿色金融债券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262580009.IB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44996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265" w:rsidRPr="00516DBB" w:rsidRDefault="005674E2" w:rsidP="00516DBB">
            <w:pPr>
              <w:jc w:val="center"/>
              <w:rPr>
                <w:sz w:val="21"/>
              </w:rPr>
            </w:pPr>
            <w:r w:rsidRPr="00516DBB">
              <w:rPr>
                <w:rFonts w:hint="eastAsia"/>
                <w:sz w:val="21"/>
              </w:rPr>
              <w:t>4,499,607.17</w:t>
            </w:r>
          </w:p>
        </w:tc>
      </w:tr>
    </w:tbl>
    <w:p w:rsidR="00C13265" w:rsidRDefault="00C13265">
      <w:pPr>
        <w:spacing w:line="400" w:lineRule="exact"/>
        <w:jc w:val="both"/>
        <w:rPr>
          <w:b/>
          <w:bCs/>
        </w:rPr>
      </w:pPr>
    </w:p>
    <w:p w:rsidR="00516DBB" w:rsidRDefault="00516DBB">
      <w:pPr>
        <w:spacing w:line="400" w:lineRule="exact"/>
        <w:jc w:val="both"/>
        <w:rPr>
          <w:b/>
          <w:bCs/>
        </w:rPr>
      </w:pPr>
    </w:p>
    <w:p w:rsidR="00516DBB" w:rsidRDefault="00516DBB">
      <w:pPr>
        <w:spacing w:line="400" w:lineRule="exact"/>
        <w:jc w:val="both"/>
        <w:rPr>
          <w:rFonts w:hint="eastAsia"/>
          <w:b/>
          <w:bCs/>
        </w:rPr>
      </w:pPr>
    </w:p>
    <w:p w:rsidR="00C13265" w:rsidRDefault="005674E2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lastRenderedPageBreak/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C13265" w:rsidRDefault="00C13265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516DBB" w:rsidTr="00A21DD8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Default="00516DBB" w:rsidP="00A21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Default="00516DBB" w:rsidP="00A21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Default="00516DBB" w:rsidP="00A21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Default="00516DBB" w:rsidP="00A21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Default="00516DBB" w:rsidP="00A21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 w:rsidRPr="00516DBB">
              <w:rPr>
                <w:rFonts w:hint="eastAsia"/>
                <w:sz w:val="21"/>
                <w:szCs w:val="21"/>
              </w:rPr>
              <w:t>（单位：元）</w:t>
            </w:r>
          </w:p>
        </w:tc>
      </w:tr>
      <w:tr w:rsidR="00516DBB" w:rsidTr="00516DBB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建信基金管理有限责任公司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HZCXHB1H.OF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</w:t>
            </w:r>
            <w:proofErr w:type="gramStart"/>
            <w:r w:rsidRPr="00516DBB">
              <w:rPr>
                <w:sz w:val="21"/>
              </w:rPr>
              <w:t>基金惠众称心</w:t>
            </w:r>
            <w:proofErr w:type="gramEnd"/>
            <w:r w:rsidRPr="00516DBB">
              <w:rPr>
                <w:sz w:val="21"/>
              </w:rPr>
              <w:t>回报1号集合资产管理计划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417.17</w:t>
            </w:r>
          </w:p>
        </w:tc>
      </w:tr>
      <w:tr w:rsidR="00516DBB" w:rsidTr="00516DBB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2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建信基金管理有限责任公司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JXJJHY01.OF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建信基金-</w:t>
            </w:r>
            <w:proofErr w:type="gramStart"/>
            <w:r w:rsidRPr="00516DBB">
              <w:rPr>
                <w:sz w:val="21"/>
              </w:rPr>
              <w:t>汇益增强</w:t>
            </w:r>
            <w:proofErr w:type="gramEnd"/>
            <w:r w:rsidRPr="00516DBB">
              <w:rPr>
                <w:sz w:val="21"/>
              </w:rPr>
              <w:t>1号集合资产管理计划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1,099.50</w:t>
            </w:r>
          </w:p>
        </w:tc>
      </w:tr>
      <w:tr w:rsidR="00516DBB" w:rsidTr="00516DBB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3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建信基金管理有限责任公司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JXJJHZTTY54H.OF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</w:t>
            </w:r>
            <w:proofErr w:type="gramStart"/>
            <w:r w:rsidRPr="00516DBB">
              <w:rPr>
                <w:sz w:val="21"/>
              </w:rPr>
              <w:t>基金惠众添添</w:t>
            </w:r>
            <w:proofErr w:type="gramEnd"/>
            <w:r w:rsidRPr="00516DBB">
              <w:rPr>
                <w:sz w:val="21"/>
              </w:rPr>
              <w:t>赢54号单一资产管理计划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103,286.46</w:t>
            </w:r>
          </w:p>
        </w:tc>
      </w:tr>
      <w:tr w:rsidR="00516DBB" w:rsidTr="00516DBB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4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建信保险资产管理有限公司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JXBXAYTL8H.OF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</w:t>
            </w:r>
            <w:proofErr w:type="gramStart"/>
            <w:r w:rsidRPr="00516DBB">
              <w:rPr>
                <w:sz w:val="21"/>
              </w:rPr>
              <w:t>保险安盈添利</w:t>
            </w:r>
            <w:proofErr w:type="gramEnd"/>
            <w:r w:rsidRPr="00516DBB">
              <w:rPr>
                <w:sz w:val="21"/>
              </w:rPr>
              <w:t>8号集合资产管理计划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205.52</w:t>
            </w:r>
          </w:p>
        </w:tc>
      </w:tr>
      <w:tr w:rsidR="00516DBB" w:rsidTr="00516DBB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5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建信保险资产管理有限公司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JXBXZGAX8H.OF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建信保险资管安鑫8号资产管理产品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1360.06</w:t>
            </w:r>
          </w:p>
        </w:tc>
      </w:tr>
      <w:tr w:rsidR="00516DBB" w:rsidTr="00516DBB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6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建信保险资产管理有限公司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JXZGAYHB3H.OF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建信资管浦江安</w:t>
            </w:r>
            <w:proofErr w:type="gramStart"/>
            <w:r w:rsidRPr="00516DBB">
              <w:rPr>
                <w:sz w:val="21"/>
              </w:rPr>
              <w:t>盈</w:t>
            </w:r>
            <w:proofErr w:type="gramEnd"/>
            <w:r w:rsidRPr="00516DBB">
              <w:rPr>
                <w:sz w:val="21"/>
              </w:rPr>
              <w:t>货币3号资产管理产品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BB" w:rsidRPr="00516DBB" w:rsidRDefault="00516DBB" w:rsidP="00516DBB">
            <w:pPr>
              <w:jc w:val="center"/>
              <w:rPr>
                <w:sz w:val="21"/>
              </w:rPr>
            </w:pPr>
            <w:r w:rsidRPr="00516DBB">
              <w:rPr>
                <w:sz w:val="21"/>
              </w:rPr>
              <w:t>12064.96</w:t>
            </w:r>
          </w:p>
        </w:tc>
      </w:tr>
    </w:tbl>
    <w:p w:rsidR="00516DBB" w:rsidRDefault="00516DBB">
      <w:pPr>
        <w:spacing w:line="400" w:lineRule="exact"/>
        <w:jc w:val="both"/>
        <w:rPr>
          <w:b/>
          <w:bCs/>
        </w:rPr>
      </w:pPr>
    </w:p>
    <w:p w:rsidR="00516DBB" w:rsidRDefault="00516DBB">
      <w:pPr>
        <w:spacing w:line="400" w:lineRule="exact"/>
        <w:jc w:val="both"/>
        <w:rPr>
          <w:rFonts w:hint="eastAsia"/>
          <w:b/>
          <w:bCs/>
        </w:rPr>
      </w:pPr>
    </w:p>
    <w:p w:rsidR="00C13265" w:rsidRDefault="00C13265"/>
    <w:p w:rsidR="00C13265" w:rsidRDefault="005674E2">
      <w:pPr>
        <w:spacing w:line="555" w:lineRule="atLeast"/>
        <w:outlineLvl w:val="2"/>
        <w:rPr>
          <w:b/>
          <w:bCs/>
        </w:rPr>
      </w:pPr>
      <w:bookmarkStart w:id="4" w:name="_Toc30906"/>
      <w:r>
        <w:rPr>
          <w:rFonts w:hint="eastAsia"/>
          <w:b/>
          <w:bCs/>
        </w:rPr>
        <w:t>1.4其他关联交易</w:t>
      </w:r>
      <w:bookmarkEnd w:id="4"/>
    </w:p>
    <w:p w:rsidR="00C13265" w:rsidRDefault="00C13265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C1326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67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67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67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67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C1326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67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67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代销费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67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16DBB">
            <w:pPr>
              <w:jc w:val="center"/>
              <w:rPr>
                <w:sz w:val="21"/>
                <w:szCs w:val="21"/>
              </w:rPr>
            </w:pPr>
            <w:r w:rsidRPr="00516DBB">
              <w:rPr>
                <w:sz w:val="21"/>
                <w:szCs w:val="21"/>
              </w:rPr>
              <w:t>891,990.74</w:t>
            </w:r>
          </w:p>
        </w:tc>
      </w:tr>
      <w:tr w:rsidR="00C13265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67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67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托管费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674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3265" w:rsidRDefault="00516DBB">
            <w:pPr>
              <w:jc w:val="center"/>
              <w:rPr>
                <w:sz w:val="21"/>
                <w:szCs w:val="21"/>
              </w:rPr>
            </w:pPr>
            <w:r w:rsidRPr="00516DBB">
              <w:rPr>
                <w:sz w:val="21"/>
                <w:szCs w:val="21"/>
              </w:rPr>
              <w:t>193,532.57</w:t>
            </w:r>
          </w:p>
        </w:tc>
      </w:tr>
    </w:tbl>
    <w:p w:rsidR="00C13265" w:rsidRDefault="00C13265">
      <w:pPr>
        <w:rPr>
          <w:b/>
          <w:sz w:val="28"/>
          <w:szCs w:val="28"/>
        </w:rPr>
      </w:pPr>
    </w:p>
    <w:p w:rsidR="005674E2" w:rsidRDefault="005674E2">
      <w:pPr>
        <w:rPr>
          <w:b/>
          <w:sz w:val="28"/>
          <w:szCs w:val="28"/>
        </w:rPr>
      </w:pPr>
      <w:bookmarkStart w:id="5" w:name="_GoBack"/>
      <w:bookmarkEnd w:id="5"/>
    </w:p>
    <w:sectPr w:rsidR="005674E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BAC" w:rsidRDefault="00CE6BAC">
      <w:r>
        <w:separator/>
      </w:r>
    </w:p>
  </w:endnote>
  <w:endnote w:type="continuationSeparator" w:id="0">
    <w:p w:rsidR="00CE6BAC" w:rsidRDefault="00CE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265" w:rsidRDefault="005674E2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6350" b="762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3265" w:rsidRDefault="005674E2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516DBB"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516DBB"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C13265" w:rsidRDefault="005674E2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516DBB"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516DBB"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BAC" w:rsidRDefault="00CE6BAC">
      <w:r>
        <w:separator/>
      </w:r>
    </w:p>
  </w:footnote>
  <w:footnote w:type="continuationSeparator" w:id="0">
    <w:p w:rsidR="00CE6BAC" w:rsidRDefault="00CE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265" w:rsidRDefault="005674E2">
    <w:pPr>
      <w:pStyle w:val="a7"/>
    </w:pPr>
    <w:r>
      <w:rPr>
        <w:rFonts w:hint="eastAsia"/>
        <w:sz w:val="15"/>
        <w:szCs w:val="15"/>
      </w:rPr>
      <w:t>建信理财嘉</w:t>
    </w:r>
    <w:proofErr w:type="gramStart"/>
    <w:r>
      <w:rPr>
        <w:rFonts w:hint="eastAsia"/>
        <w:sz w:val="15"/>
        <w:szCs w:val="15"/>
      </w:rPr>
      <w:t>鑫</w:t>
    </w:r>
    <w:proofErr w:type="gramEnd"/>
    <w:r>
      <w:rPr>
        <w:rFonts w:hint="eastAsia"/>
        <w:sz w:val="15"/>
        <w:szCs w:val="15"/>
      </w:rPr>
      <w:t>（稳利）</w:t>
    </w:r>
    <w:proofErr w:type="gramStart"/>
    <w:r>
      <w:rPr>
        <w:rFonts w:hint="eastAsia"/>
        <w:sz w:val="15"/>
        <w:szCs w:val="15"/>
      </w:rPr>
      <w:t>固收类</w:t>
    </w:r>
    <w:proofErr w:type="gramEnd"/>
    <w:r>
      <w:rPr>
        <w:rFonts w:hint="eastAsia"/>
        <w:sz w:val="15"/>
        <w:szCs w:val="15"/>
      </w:rPr>
      <w:t>最低持有14天产品第5期2025年</w:t>
    </w:r>
    <w:r w:rsidR="008876D1">
      <w:rPr>
        <w:rFonts w:hint="eastAsia"/>
        <w:sz w:val="15"/>
        <w:szCs w:val="15"/>
      </w:rPr>
      <w:t>三</w:t>
    </w:r>
    <w:r>
      <w:rPr>
        <w:rFonts w:hint="eastAsia"/>
        <w:sz w:val="15"/>
        <w:szCs w:val="15"/>
      </w:rPr>
      <w:t>季度关联交易信息披露公告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CC"/>
    <w:rsid w:val="00342AEC"/>
    <w:rsid w:val="00516DBB"/>
    <w:rsid w:val="005674E2"/>
    <w:rsid w:val="008876D1"/>
    <w:rsid w:val="0096200B"/>
    <w:rsid w:val="00C13265"/>
    <w:rsid w:val="00CE6BAC"/>
    <w:rsid w:val="00FF6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34CF7"/>
  <w15:chartTrackingRefBased/>
  <w15:docId w15:val="{81CA1475-F69E-4189-A210-56CC9657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624;&#26133;\&#20851;&#32852;&#20132;&#26131;&#25253;&#36865;\2025\&#34917;&#20805;&#21452;&#38750;90\&#40644;&#26234;&#31435;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B6AB30-4AC8-4823-9A04-AF3C523F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6</TotalTime>
  <Pages>4</Pages>
  <Words>395</Words>
  <Characters>2258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5</cp:revision>
  <cp:lastPrinted>2023-03-23T06:51:00Z</cp:lastPrinted>
  <dcterms:created xsi:type="dcterms:W3CDTF">2025-12-30T07:05:00Z</dcterms:created>
  <dcterms:modified xsi:type="dcterms:W3CDTF">2025-12-30T12:04:00Z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