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5CDE">
      <w:pPr>
        <w:spacing w:line="630" w:lineRule="atLeast"/>
        <w:jc w:val="right"/>
        <w:rPr>
          <w:b/>
          <w:bCs/>
          <w:sz w:val="32"/>
          <w:szCs w:val="32"/>
        </w:rPr>
      </w:pPr>
    </w:p>
    <w:p w:rsidR="00000000" w:rsidRDefault="00BA5CDE">
      <w:pPr>
        <w:spacing w:line="630" w:lineRule="atLeas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建信理财建信宝（机构专属）按日开放式理财产品第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期</w:t>
      </w:r>
      <w:r>
        <w:rPr>
          <w:rFonts w:hint="eastAsia"/>
          <w:b/>
          <w:bCs/>
          <w:sz w:val="32"/>
          <w:szCs w:val="32"/>
        </w:rPr>
        <w:br/>
        <w:t>2025</w:t>
      </w:r>
      <w:r>
        <w:rPr>
          <w:rFonts w:hint="eastAsia"/>
          <w:b/>
          <w:bCs/>
          <w:sz w:val="32"/>
          <w:szCs w:val="32"/>
        </w:rPr>
        <w:t>年二季度关联交易信息披露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公告</w:t>
      </w:r>
    </w:p>
    <w:p w:rsidR="00000000" w:rsidRDefault="00BA5CDE">
      <w:pPr>
        <w:spacing w:line="630" w:lineRule="atLeast"/>
        <w:jc w:val="center"/>
        <w:rPr>
          <w:rFonts w:hint="eastAsia"/>
          <w:b/>
          <w:bCs/>
          <w:sz w:val="32"/>
          <w:szCs w:val="32"/>
        </w:rPr>
      </w:pPr>
    </w:p>
    <w:p w:rsidR="00000000" w:rsidRDefault="00BA5CDE">
      <w:pPr>
        <w:ind w:firstLineChars="200" w:firstLine="420"/>
        <w:jc w:val="both"/>
        <w:rPr>
          <w:rFonts w:hint="eastAsia"/>
          <w:sz w:val="21"/>
          <w:szCs w:val="21"/>
        </w:rPr>
      </w:pPr>
    </w:p>
    <w:p w:rsidR="00000000" w:rsidRDefault="00BA5CDE">
      <w:pPr>
        <w:jc w:val="both"/>
        <w:rPr>
          <w:rFonts w:hint="eastAsia"/>
          <w:sz w:val="21"/>
          <w:szCs w:val="21"/>
        </w:rPr>
      </w:pPr>
    </w:p>
    <w:p w:rsidR="00000000" w:rsidRDefault="00BA5CDE">
      <w:pPr>
        <w:jc w:val="both"/>
        <w:rPr>
          <w:rFonts w:hint="eastAsia"/>
          <w:sz w:val="21"/>
          <w:szCs w:val="21"/>
        </w:rPr>
      </w:pPr>
    </w:p>
    <w:p w:rsidR="00000000" w:rsidRDefault="00BA5CDE">
      <w:pPr>
        <w:jc w:val="both"/>
        <w:rPr>
          <w:rFonts w:hint="eastAsia"/>
          <w:sz w:val="21"/>
          <w:szCs w:val="21"/>
        </w:rPr>
      </w:pP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spacing w:line="555" w:lineRule="atLeast"/>
        <w:rPr>
          <w:rFonts w:hint="eastAsia"/>
          <w:sz w:val="30"/>
          <w:szCs w:val="30"/>
        </w:rPr>
      </w:pPr>
    </w:p>
    <w:p w:rsidR="00000000" w:rsidRDefault="00BA5CDE">
      <w:pPr>
        <w:spacing w:line="555" w:lineRule="atLeast"/>
        <w:rPr>
          <w:rFonts w:hint="eastAsia"/>
          <w:sz w:val="30"/>
          <w:szCs w:val="30"/>
        </w:rPr>
      </w:pPr>
    </w:p>
    <w:p w:rsidR="00000000" w:rsidRDefault="00BA5CDE">
      <w:pPr>
        <w:spacing w:line="555" w:lineRule="atLeast"/>
        <w:rPr>
          <w:rFonts w:hint="eastAsia"/>
          <w:sz w:val="30"/>
          <w:szCs w:val="30"/>
        </w:rPr>
      </w:pPr>
    </w:p>
    <w:p w:rsidR="00000000" w:rsidRDefault="00BA5CDE">
      <w:pPr>
        <w:spacing w:line="555" w:lineRule="atLeas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产品管理人：建信理财有限责任公司</w:t>
      </w:r>
    </w:p>
    <w:p w:rsidR="00000000" w:rsidRDefault="00BA5CDE">
      <w:pPr>
        <w:spacing w:line="555" w:lineRule="atLeas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产品托管人：中国建设银行股份有限公司</w:t>
      </w:r>
    </w:p>
    <w:p w:rsidR="00000000" w:rsidRDefault="00BA5CDE">
      <w:pPr>
        <w:spacing w:line="555" w:lineRule="atLeas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报告期：</w:t>
      </w: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04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01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>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06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spacing w:line="555" w:lineRule="atLeast"/>
        <w:rPr>
          <w:rFonts w:hint="eastAsia"/>
          <w:sz w:val="28"/>
          <w:szCs w:val="28"/>
        </w:rPr>
      </w:pPr>
    </w:p>
    <w:p w:rsidR="00000000" w:rsidRDefault="00BA5CD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  <w:bookmarkStart w:id="1" w:name="_Toc30495"/>
      <w:bookmarkStart w:id="2" w:name="_Toc11451"/>
    </w:p>
    <w:p w:rsidR="00000000" w:rsidRDefault="00BA5CDE">
      <w:pPr>
        <w:spacing w:line="555" w:lineRule="atLeast"/>
        <w:outlineLvl w:val="1"/>
        <w:rPr>
          <w:rFonts w:hint="eastAsia"/>
          <w:b/>
          <w:bCs/>
        </w:rPr>
      </w:pPr>
      <w:bookmarkStart w:id="3" w:name="_Toc135731279"/>
      <w:r>
        <w:rPr>
          <w:rFonts w:hint="eastAsia"/>
          <w:b/>
          <w:bCs/>
        </w:rPr>
        <w:lastRenderedPageBreak/>
        <w:t>1.</w:t>
      </w:r>
      <w:r>
        <w:rPr>
          <w:rFonts w:hint="eastAsia"/>
          <w:b/>
          <w:bCs/>
        </w:rPr>
        <w:t>报告期内关联交易情况</w:t>
      </w:r>
      <w:bookmarkEnd w:id="3"/>
    </w:p>
    <w:p w:rsidR="00000000" w:rsidRDefault="00BA5CDE">
      <w:pPr>
        <w:spacing w:line="400" w:lineRule="exact"/>
        <w:rPr>
          <w:rFonts w:hint="eastAsia"/>
          <w:b/>
          <w:sz w:val="30"/>
          <w:szCs w:val="30"/>
        </w:rPr>
      </w:pPr>
    </w:p>
    <w:bookmarkEnd w:id="1"/>
    <w:bookmarkEnd w:id="2"/>
    <w:p w:rsidR="00000000" w:rsidRDefault="00BA5CDE">
      <w:pPr>
        <w:spacing w:line="555" w:lineRule="atLeast"/>
        <w:outlineLvl w:val="2"/>
        <w:rPr>
          <w:rFonts w:hint="eastAsia"/>
          <w:b/>
          <w:bCs/>
        </w:rPr>
      </w:pPr>
      <w:r>
        <w:rPr>
          <w:rFonts w:hint="eastAsia"/>
          <w:b/>
          <w:bCs/>
        </w:rPr>
        <w:t>1.1</w:t>
      </w:r>
      <w:r>
        <w:rPr>
          <w:rFonts w:hint="eastAsia"/>
          <w:b/>
          <w:bCs/>
        </w:rPr>
        <w:t>产品投资于关联方发行的证券</w:t>
      </w:r>
    </w:p>
    <w:p w:rsidR="00000000" w:rsidRDefault="00BA5CDE">
      <w:pPr>
        <w:spacing w:line="400" w:lineRule="exact"/>
        <w:jc w:val="both"/>
        <w:rPr>
          <w:rFonts w:hint="eastAsia"/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60"/>
        <w:gridCol w:w="1306"/>
        <w:gridCol w:w="1091"/>
        <w:gridCol w:w="1091"/>
        <w:gridCol w:w="1966"/>
        <w:gridCol w:w="2182"/>
      </w:tblGrid>
      <w:tr w:rsidR="00000000">
        <w:trPr>
          <w:trHeight w:val="6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报告期内买入证券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CDE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CDE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CDE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CDE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000000" w:rsidRDefault="00BA5CDE">
      <w:pPr>
        <w:rPr>
          <w:rFonts w:hint="eastAsia"/>
        </w:rPr>
      </w:pPr>
    </w:p>
    <w:p w:rsidR="00000000" w:rsidRDefault="00BA5CDE">
      <w:pPr>
        <w:spacing w:line="555" w:lineRule="atLeast"/>
        <w:outlineLvl w:val="2"/>
        <w:rPr>
          <w:rFonts w:hint="eastAsia"/>
          <w:b/>
          <w:bCs/>
        </w:rPr>
      </w:pPr>
      <w:r>
        <w:rPr>
          <w:rFonts w:hint="eastAsia"/>
          <w:b/>
          <w:bCs/>
        </w:rPr>
        <w:t>1.2</w:t>
      </w:r>
      <w:r>
        <w:rPr>
          <w:rFonts w:hint="eastAsia"/>
          <w:b/>
          <w:bCs/>
        </w:rPr>
        <w:t>产品投资于关联方承销的证券</w:t>
      </w:r>
    </w:p>
    <w:p w:rsidR="00000000" w:rsidRDefault="00BA5CDE">
      <w:pPr>
        <w:spacing w:line="400" w:lineRule="exact"/>
        <w:jc w:val="both"/>
        <w:rPr>
          <w:rFonts w:hint="eastAsia"/>
          <w:b/>
          <w:bCs/>
        </w:rPr>
      </w:pPr>
    </w:p>
    <w:tbl>
      <w:tblPr>
        <w:tblW w:w="5000" w:type="pct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10"/>
        <w:gridCol w:w="1154"/>
        <w:gridCol w:w="1021"/>
        <w:gridCol w:w="1656"/>
        <w:gridCol w:w="1814"/>
        <w:gridCol w:w="2041"/>
      </w:tblGrid>
      <w:tr w:rsidR="00000000">
        <w:trPr>
          <w:trHeight w:val="61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关联方名称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资产代码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报告期内买入证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券</w:t>
            </w:r>
          </w:p>
        </w:tc>
      </w:tr>
      <w:tr w:rsidR="0000000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CDE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CDE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CDE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A5CDE">
            <w:pPr>
              <w:rPr>
                <w:rFonts w:hAnsi="等线"/>
                <w:color w:val="000000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0000" w:rsidRDefault="00BA5CDE">
            <w:pPr>
              <w:jc w:val="center"/>
              <w:rPr>
                <w:rFonts w:hAnsi="等线" w:hint="eastAsia"/>
                <w:color w:val="000000"/>
                <w:sz w:val="21"/>
                <w:szCs w:val="21"/>
              </w:rPr>
            </w:pPr>
            <w:r>
              <w:rPr>
                <w:rFonts w:hAnsi="等线" w:hint="eastAsia"/>
                <w:color w:val="000000"/>
                <w:sz w:val="21"/>
                <w:szCs w:val="21"/>
              </w:rPr>
              <w:t>总金额（单位：元）</w:t>
            </w:r>
          </w:p>
        </w:tc>
      </w:tr>
    </w:tbl>
    <w:p w:rsidR="00000000" w:rsidRDefault="00BA5CDE">
      <w:pPr>
        <w:rPr>
          <w:rFonts w:hint="eastAsia"/>
        </w:rPr>
      </w:pPr>
    </w:p>
    <w:p w:rsidR="00000000" w:rsidRDefault="00BA5CDE">
      <w:pPr>
        <w:spacing w:line="555" w:lineRule="atLeast"/>
        <w:outlineLvl w:val="2"/>
        <w:rPr>
          <w:rFonts w:hint="eastAsia"/>
          <w:b/>
          <w:bCs/>
        </w:rPr>
      </w:pPr>
      <w:r>
        <w:rPr>
          <w:rFonts w:hint="eastAsia"/>
          <w:b/>
          <w:bCs/>
        </w:rPr>
        <w:t>1.3</w:t>
      </w:r>
      <w:r>
        <w:rPr>
          <w:rFonts w:hint="eastAsia"/>
          <w:b/>
          <w:bCs/>
        </w:rPr>
        <w:t>产品投资于关联方发行的资产管理产品</w:t>
      </w:r>
    </w:p>
    <w:p w:rsidR="00000000" w:rsidRDefault="00BA5CDE">
      <w:pPr>
        <w:spacing w:line="400" w:lineRule="exact"/>
        <w:jc w:val="both"/>
        <w:rPr>
          <w:rFonts w:hint="eastAsia"/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1"/>
        <w:gridCol w:w="1474"/>
        <w:gridCol w:w="2190"/>
        <w:gridCol w:w="2000"/>
        <w:gridCol w:w="2145"/>
      </w:tblGrid>
      <w:tr w:rsidR="00000000">
        <w:trPr>
          <w:trHeight w:val="450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资产管理产品代码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资产管理产品名称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管理费金额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  <w:tr w:rsidR="00000000">
        <w:trPr>
          <w:trHeight w:val="297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建信信托有限责任公司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JXXTFMZXRRY10H.OF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建信信托凤鸣尊享日日盈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号集合信托计划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561.96</w:t>
            </w:r>
          </w:p>
        </w:tc>
      </w:tr>
      <w:tr w:rsidR="00000000">
        <w:trPr>
          <w:trHeight w:val="297"/>
        </w:trPr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建信信托有限责任公司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JXXTFMZXRRY11H.OF</w:t>
            </w:r>
          </w:p>
        </w:tc>
        <w:tc>
          <w:tcPr>
            <w:tcW w:w="1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建信信托凤鸣尊享日日盈</w:t>
            </w:r>
            <w:r>
              <w:rPr>
                <w:rFonts w:hint="eastAsia"/>
                <w:sz w:val="21"/>
              </w:rPr>
              <w:t>11</w:t>
            </w:r>
            <w:r>
              <w:rPr>
                <w:rFonts w:hint="eastAsia"/>
                <w:sz w:val="21"/>
              </w:rPr>
              <w:t>号集合信托计划</w:t>
            </w:r>
          </w:p>
        </w:tc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1,534.98</w:t>
            </w:r>
          </w:p>
        </w:tc>
      </w:tr>
    </w:tbl>
    <w:p w:rsidR="00000000" w:rsidRDefault="00BA5CDE">
      <w:pPr>
        <w:rPr>
          <w:rFonts w:hint="eastAsia"/>
        </w:rPr>
      </w:pPr>
    </w:p>
    <w:p w:rsidR="00000000" w:rsidRDefault="00BA5CDE">
      <w:pPr>
        <w:spacing w:line="555" w:lineRule="atLeast"/>
        <w:outlineLvl w:val="2"/>
        <w:rPr>
          <w:rFonts w:hint="eastAsia"/>
          <w:b/>
          <w:bCs/>
        </w:rPr>
      </w:pPr>
      <w:bookmarkStart w:id="4" w:name="_Toc30906"/>
      <w:r>
        <w:rPr>
          <w:rFonts w:hint="eastAsia"/>
          <w:b/>
          <w:bCs/>
        </w:rPr>
        <w:t>1.4</w:t>
      </w:r>
      <w:r>
        <w:rPr>
          <w:rFonts w:hint="eastAsia"/>
          <w:b/>
          <w:bCs/>
        </w:rPr>
        <w:t>其他关联交易</w:t>
      </w:r>
      <w:bookmarkEnd w:id="4"/>
    </w:p>
    <w:p w:rsidR="00000000" w:rsidRDefault="00BA5CDE">
      <w:pPr>
        <w:spacing w:line="400" w:lineRule="exact"/>
        <w:jc w:val="both"/>
        <w:rPr>
          <w:rFonts w:hint="eastAsia"/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0"/>
        <w:gridCol w:w="3348"/>
        <w:gridCol w:w="2038"/>
        <w:gridCol w:w="2184"/>
      </w:tblGrid>
      <w:tr w:rsidR="00000000">
        <w:trPr>
          <w:trHeight w:val="4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交易类型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关联方名称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A5C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总金额</w:t>
            </w:r>
            <w:r>
              <w:rPr>
                <w:rFonts w:hAnsi="等线" w:hint="eastAsia"/>
                <w:color w:val="000000"/>
                <w:sz w:val="21"/>
                <w:szCs w:val="21"/>
              </w:rPr>
              <w:t>（单位：元）</w:t>
            </w:r>
          </w:p>
        </w:tc>
      </w:tr>
    </w:tbl>
    <w:p w:rsidR="00BA5CDE" w:rsidRDefault="00BA5CDE">
      <w:pPr>
        <w:rPr>
          <w:rFonts w:hint="eastAsia"/>
          <w:b/>
          <w:sz w:val="28"/>
          <w:szCs w:val="28"/>
        </w:rPr>
      </w:pPr>
    </w:p>
    <w:sectPr w:rsidR="00BA5CDE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DE" w:rsidRDefault="00BA5CDE">
      <w:pPr>
        <w:rPr>
          <w:rFonts w:hint="eastAsia"/>
        </w:rPr>
      </w:pPr>
      <w:r>
        <w:separator/>
      </w:r>
    </w:p>
  </w:endnote>
  <w:endnote w:type="continuationSeparator" w:id="0">
    <w:p w:rsidR="00BA5CDE" w:rsidRDefault="00BA5C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5CDE">
    <w:pPr>
      <w:pStyle w:val="a9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8290" cy="147955"/>
              <wp:effectExtent l="0" t="0" r="6350" b="762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Default="00BA5CDE">
                          <w:pPr>
                            <w:pStyle w:val="a9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D24F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D24F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2.7pt;height:11.6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" filled="f" stroked="f">
              <v:textbox style="mso-fit-shape-to-text:t" inset="0,0,0,0">
                <w:txbxContent>
                  <w:p w:rsidR="00000000" w:rsidRDefault="00BA5CDE">
                    <w:pPr>
                      <w:pStyle w:val="a9"/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D24F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</w:rPr>
                      <w:t xml:space="preserve"> / 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D24F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hint="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DE" w:rsidRDefault="00BA5CDE">
      <w:r>
        <w:separator/>
      </w:r>
    </w:p>
  </w:footnote>
  <w:footnote w:type="continuationSeparator" w:id="0">
    <w:p w:rsidR="00BA5CDE" w:rsidRDefault="00BA5C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A5CDE">
    <w:pPr>
      <w:pStyle w:val="a7"/>
      <w:rPr>
        <w:rFonts w:hint="eastAsia"/>
        <w:sz w:val="15"/>
        <w:szCs w:val="15"/>
      </w:rPr>
    </w:pPr>
    <w:r>
      <w:rPr>
        <w:rFonts w:hint="eastAsia"/>
        <w:sz w:val="15"/>
        <w:szCs w:val="15"/>
      </w:rPr>
      <w:t>建信理财建信宝（机构专属）按日开放式理财产品第</w:t>
    </w:r>
    <w:r>
      <w:rPr>
        <w:rFonts w:hint="eastAsia"/>
        <w:sz w:val="15"/>
        <w:szCs w:val="15"/>
      </w:rPr>
      <w:t>2</w:t>
    </w:r>
    <w:r>
      <w:rPr>
        <w:rFonts w:hint="eastAsia"/>
        <w:sz w:val="15"/>
        <w:szCs w:val="15"/>
      </w:rPr>
      <w:t>期</w:t>
    </w:r>
    <w:r>
      <w:rPr>
        <w:rFonts w:hint="eastAsia"/>
        <w:sz w:val="15"/>
        <w:szCs w:val="15"/>
      </w:rPr>
      <w:t>2025</w:t>
    </w:r>
    <w:r>
      <w:rPr>
        <w:rFonts w:hint="eastAsia"/>
        <w:sz w:val="15"/>
        <w:szCs w:val="15"/>
      </w:rPr>
      <w:t>年二季度关联交易信息披露报告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F9"/>
    <w:rsid w:val="002D24F9"/>
    <w:rsid w:val="00BA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439C9-D344-413D-8B88-3D86A23F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  <w14:textFill>
        <w14:solidFill>
          <w14:srgbClr w14:val="000000"/>
        </w14:solidFill>
      </w14:textFill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locked/>
    <w:rPr>
      <w:rFonts w:asciiTheme="majorHAnsi" w:eastAsiaTheme="majorEastAsia" w:hAnsiTheme="majorHAnsi" w:cstheme="majorBidi" w:hint="eastAsia"/>
      <w:color w:val="2F5496" w:themeColor="accent1" w:themeShade="BF"/>
      <w:sz w:val="48"/>
      <w:szCs w:val="4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styleId="12">
    <w:name w:val="toc 1"/>
    <w:basedOn w:val="a"/>
    <w:next w:val="a"/>
    <w:autoRedefine/>
    <w:uiPriority w:val="39"/>
    <w:unhideWhenUsed/>
    <w:qFormat/>
  </w:style>
  <w:style w:type="paragraph" w:styleId="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annotation text"/>
    <w:basedOn w:val="a"/>
    <w:link w:val="13"/>
    <w:uiPriority w:val="99"/>
    <w:semiHidden/>
    <w:unhideWhenUsed/>
    <w:qFormat/>
  </w:style>
  <w:style w:type="character" w:customStyle="1" w:styleId="a6">
    <w:name w:val="批注文字 字符"/>
    <w:basedOn w:val="a0"/>
    <w:link w:val="a5"/>
    <w:uiPriority w:val="99"/>
    <w:semiHidden/>
    <w:locked/>
    <w:rPr>
      <w:rFonts w:ascii="宋体" w:eastAsia="宋体" w:hAnsi="宋体" w:cs="宋体" w:hint="eastAsia"/>
      <w:sz w:val="24"/>
      <w:szCs w:val="24"/>
    </w:rPr>
  </w:style>
  <w:style w:type="paragraph" w:styleId="a7">
    <w:name w:val="header"/>
    <w:basedOn w:val="a"/>
    <w:link w:val="1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9">
    <w:name w:val="footer"/>
    <w:basedOn w:val="a"/>
    <w:link w:val="1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b">
    <w:name w:val="annotation subject"/>
    <w:basedOn w:val="a5"/>
    <w:next w:val="a5"/>
    <w:link w:val="16"/>
    <w:uiPriority w:val="99"/>
    <w:semiHidden/>
    <w:unhideWhenUsed/>
    <w:qFormat/>
    <w:rPr>
      <w:b/>
      <w:bCs/>
    </w:rPr>
  </w:style>
  <w:style w:type="character" w:customStyle="1" w:styleId="ac">
    <w:name w:val="批注主题 字符"/>
    <w:basedOn w:val="a6"/>
    <w:link w:val="ab"/>
    <w:uiPriority w:val="99"/>
    <w:semiHidden/>
    <w:locked/>
    <w:rPr>
      <w:rFonts w:ascii="宋体" w:eastAsia="宋体" w:hAnsi="宋体" w:cs="宋体" w:hint="eastAsia"/>
      <w:b/>
      <w:bCs/>
      <w:sz w:val="24"/>
      <w:szCs w:val="24"/>
    </w:rPr>
  </w:style>
  <w:style w:type="paragraph" w:styleId="ad">
    <w:name w:val="Balloon Text"/>
    <w:basedOn w:val="a"/>
    <w:link w:val="17"/>
    <w:uiPriority w:val="99"/>
    <w:semiHidden/>
    <w:unhideWhenUsed/>
    <w:qFormat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locked/>
    <w:rPr>
      <w:rFonts w:ascii="宋体" w:eastAsia="宋体" w:hAnsi="宋体" w:cs="宋体" w:hint="eastAsia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TOC1">
    <w:name w:val="TOC 标题1"/>
    <w:basedOn w:val="1"/>
    <w:next w:val="a"/>
    <w:uiPriority w:val="39"/>
    <w:qFormat/>
    <w:pPr>
      <w:spacing w:before="240" w:after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cbshowdetail">
    <w:name w:val="ccbshowdetail"/>
    <w:basedOn w:val="a0"/>
    <w:qFormat/>
  </w:style>
  <w:style w:type="character" w:customStyle="1" w:styleId="fa">
    <w:name w:val="fa"/>
    <w:basedOn w:val="a0"/>
    <w:qFormat/>
  </w:style>
  <w:style w:type="character" w:customStyle="1" w:styleId="14">
    <w:name w:val="页眉 字符1"/>
    <w:basedOn w:val="a0"/>
    <w:link w:val="a7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5">
    <w:name w:val="页脚 字符1"/>
    <w:basedOn w:val="a0"/>
    <w:link w:val="a9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7">
    <w:name w:val="批注框文本 字符1"/>
    <w:basedOn w:val="a0"/>
    <w:link w:val="ad"/>
    <w:uiPriority w:val="99"/>
    <w:semiHidden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13">
    <w:name w:val="批注文字 字符1"/>
    <w:basedOn w:val="a0"/>
    <w:link w:val="a5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character" w:customStyle="1" w:styleId="16">
    <w:name w:val="批注主题 字符1"/>
    <w:basedOn w:val="13"/>
    <w:link w:val="ab"/>
    <w:uiPriority w:val="99"/>
    <w:semiHidden/>
    <w:qFormat/>
    <w:locked/>
    <w:rPr>
      <w:rFonts w:ascii="宋体" w:eastAsia="宋体" w:hAnsi="宋体" w:cs="宋体" w:hint="eastAsia"/>
      <w:b/>
      <w:bCs/>
      <w:sz w:val="24"/>
      <w:szCs w:val="24"/>
    </w:rPr>
  </w:style>
  <w:style w:type="character" w:customStyle="1" w:styleId="11">
    <w:name w:val="标题 1 字符1"/>
    <w:basedOn w:val="a0"/>
    <w:link w:val="1"/>
    <w:uiPriority w:val="9"/>
    <w:qFormat/>
    <w:locked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Char">
    <w:name w:val="页眉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character" w:customStyle="1" w:styleId="Char0">
    <w:name w:val="页脚 Char"/>
    <w:basedOn w:val="a0"/>
    <w:uiPriority w:val="99"/>
    <w:qFormat/>
    <w:locked/>
    <w:rPr>
      <w:rFonts w:ascii="宋体" w:eastAsia="宋体" w:hAnsi="宋体" w:cs="宋体" w:hint="eastAsia"/>
      <w:sz w:val="18"/>
      <w:szCs w:val="18"/>
    </w:rPr>
  </w:style>
  <w:style w:type="table" w:styleId="af1">
    <w:name w:val="Table Grid"/>
    <w:basedOn w:val="a1"/>
    <w:uiPriority w:val="39"/>
    <w:qFormat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252A9D8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8F1985-3533-4EBD-B715-1CA8A902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252A9D88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世洋</dc:creator>
  <cp:keywords/>
  <dc:description/>
  <cp:lastModifiedBy>屈昕</cp:lastModifiedBy>
  <cp:revision>2</cp:revision>
  <cp:lastPrinted>2023-03-23T06:51:00Z</cp:lastPrinted>
  <dcterms:created xsi:type="dcterms:W3CDTF">2025-12-30T07:02:00Z</dcterms:created>
  <dcterms:modified xsi:type="dcterms:W3CDTF">2025-12-30T07:02:00Z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3B49432A9A2F4D0EA31F65A85577324D</vt:lpwstr>
  </property>
</Properties>
</file>