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 w:val="24"/>
          <w:szCs w:val="24"/>
        </w:rPr>
        <w:t>关于建信理财部分产品管理费率优惠的公告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为更好地为客户提供投资理财服务，建信理财有限责任公司拟对建信理财部分产品的管理费率进行优惠，优惠结束时间以后续公告为准，具体内容如下：</w:t>
      </w:r>
    </w:p>
    <w:tbl>
      <w:tblPr>
        <w:tblStyle w:val="4"/>
        <w:tblW w:w="4270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2"/>
        <w:gridCol w:w="2005"/>
        <w:gridCol w:w="1977"/>
        <w:gridCol w:w="2169"/>
        <w:gridCol w:w="2163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tblHeader/>
          <w:jc w:val="center"/>
        </w:trPr>
        <w:tc>
          <w:tcPr>
            <w:tcW w:w="3793" w:type="dxa"/>
            <w:vMerge w:val="restart"/>
            <w:vAlign w:val="center"/>
          </w:tcPr>
          <w:p w14:paraId="17F165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产品名称</w:t>
            </w:r>
          </w:p>
        </w:tc>
        <w:tc>
          <w:tcPr>
            <w:tcW w:w="2005" w:type="dxa"/>
            <w:vMerge w:val="restart"/>
            <w:vAlign w:val="center"/>
          </w:tcPr>
          <w:p w14:paraId="560934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Style w:val="6"/>
                <w:rFonts w:hint="eastAsia" w:ascii="宋体" w:hAnsi="宋体" w:eastAsia="宋体" w:cs="Arial"/>
                <w:color w:val="000000"/>
                <w:szCs w:val="21"/>
              </w:rPr>
              <w:t>全国银行业理财信息登记系统编号</w:t>
            </w:r>
          </w:p>
        </w:tc>
        <w:tc>
          <w:tcPr>
            <w:tcW w:w="1977" w:type="dxa"/>
            <w:vMerge w:val="restart"/>
            <w:vAlign w:val="center"/>
          </w:tcPr>
          <w:p w14:paraId="0CACA5DB">
            <w:pPr>
              <w:pStyle w:val="3"/>
              <w:snapToGrid w:val="0"/>
              <w:jc w:val="center"/>
              <w:rPr>
                <w:rFonts w:cs="Arial"/>
                <w:color w:val="666666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优惠起始日（含）</w:t>
            </w:r>
          </w:p>
        </w:tc>
        <w:tc>
          <w:tcPr>
            <w:tcW w:w="4332" w:type="dxa"/>
            <w:gridSpan w:val="2"/>
            <w:vAlign w:val="center"/>
          </w:tcPr>
          <w:p w14:paraId="2351C94A">
            <w:pPr>
              <w:pStyle w:val="3"/>
              <w:snapToGrid w:val="0"/>
              <w:jc w:val="center"/>
              <w:rPr>
                <w:rStyle w:val="6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tblHeader/>
          <w:jc w:val="center"/>
        </w:trPr>
        <w:tc>
          <w:tcPr>
            <w:tcW w:w="3793" w:type="dxa"/>
            <w:vMerge w:val="continue"/>
            <w:vAlign w:val="center"/>
          </w:tcPr>
          <w:p w14:paraId="71607D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05" w:type="dxa"/>
            <w:vMerge w:val="continue"/>
            <w:vAlign w:val="center"/>
          </w:tcPr>
          <w:p w14:paraId="7953AD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77" w:type="dxa"/>
            <w:vMerge w:val="continue"/>
            <w:vAlign w:val="center"/>
          </w:tcPr>
          <w:p w14:paraId="4B460578">
            <w:pPr>
              <w:widowControl/>
              <w:jc w:val="center"/>
              <w:rPr>
                <w:rFonts w:ascii="宋体" w:hAnsi="宋体" w:eastAsia="宋体" w:cs="Arial"/>
                <w:color w:val="666666"/>
                <w:kern w:val="0"/>
                <w:szCs w:val="21"/>
              </w:rPr>
            </w:pPr>
          </w:p>
        </w:tc>
        <w:tc>
          <w:tcPr>
            <w:tcW w:w="2168" w:type="dxa"/>
            <w:vAlign w:val="center"/>
          </w:tcPr>
          <w:p w14:paraId="518B5324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优惠前</w:t>
            </w:r>
          </w:p>
        </w:tc>
        <w:tc>
          <w:tcPr>
            <w:tcW w:w="2164" w:type="dxa"/>
            <w:vAlign w:val="center"/>
          </w:tcPr>
          <w:p w14:paraId="78E38C2B">
            <w:pPr>
              <w:pStyle w:val="3"/>
              <w:snapToGrid w:val="0"/>
              <w:jc w:val="center"/>
              <w:rPr>
                <w:rStyle w:val="6"/>
                <w:rFonts w:cs="Arial"/>
                <w:color w:val="000000"/>
                <w:sz w:val="21"/>
                <w:szCs w:val="21"/>
              </w:rPr>
            </w:pPr>
            <w:r>
              <w:rPr>
                <w:rStyle w:val="6"/>
                <w:rFonts w:hint="eastAsia" w:cs="Arial"/>
                <w:color w:val="000000"/>
                <w:sz w:val="21"/>
                <w:szCs w:val="21"/>
              </w:rPr>
              <w:t>优惠后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3793" w:type="dxa"/>
            <w:vAlign w:val="center"/>
          </w:tcPr>
          <w:p w14:paraId="46F3A3B1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建信理财嘉鑫（稳利）固收类封闭式产品2026年第4期</w:t>
            </w:r>
          </w:p>
        </w:tc>
        <w:tc>
          <w:tcPr>
            <w:tcW w:w="2005" w:type="dxa"/>
            <w:vAlign w:val="center"/>
          </w:tcPr>
          <w:p w14:paraId="2AFC314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Z7000725001662</w:t>
            </w:r>
          </w:p>
        </w:tc>
        <w:tc>
          <w:tcPr>
            <w:tcW w:w="1977" w:type="dxa"/>
            <w:vAlign w:val="center"/>
          </w:tcPr>
          <w:p w14:paraId="22E60F5D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48D9A8A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659EFA6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  <w:tr w14:paraId="232B6C8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3793" w:type="dxa"/>
            <w:vAlign w:val="center"/>
          </w:tcPr>
          <w:p w14:paraId="4BD06B3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建信理财嘉鑫（稳利）固收类封闭式产品2026年第5期</w:t>
            </w:r>
          </w:p>
        </w:tc>
        <w:tc>
          <w:tcPr>
            <w:tcW w:w="2005" w:type="dxa"/>
            <w:vAlign w:val="center"/>
          </w:tcPr>
          <w:p w14:paraId="15AE1C1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Z7000725001660</w:t>
            </w:r>
          </w:p>
        </w:tc>
        <w:tc>
          <w:tcPr>
            <w:tcW w:w="1977" w:type="dxa"/>
            <w:vAlign w:val="center"/>
          </w:tcPr>
          <w:p w14:paraId="537747A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2205F56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59A4D27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  <w:tr w14:paraId="71DBC6D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793" w:type="dxa"/>
            <w:vAlign w:val="center"/>
          </w:tcPr>
          <w:p w14:paraId="27A6A90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建信理财嘉鑫（稳利）固收类封闭式产品2026年第22期</w:t>
            </w:r>
          </w:p>
        </w:tc>
        <w:tc>
          <w:tcPr>
            <w:tcW w:w="2005" w:type="dxa"/>
            <w:vAlign w:val="center"/>
          </w:tcPr>
          <w:p w14:paraId="3FAF14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Z7000725001650</w:t>
            </w:r>
          </w:p>
        </w:tc>
        <w:tc>
          <w:tcPr>
            <w:tcW w:w="1977" w:type="dxa"/>
            <w:vAlign w:val="center"/>
          </w:tcPr>
          <w:p w14:paraId="3AADDF3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3B587B1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4C764FA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  <w:tr w14:paraId="5BE07E6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2F0A7077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建信理财嘉鑫固收类封闭式产品2026年第100期</w:t>
            </w:r>
          </w:p>
        </w:tc>
        <w:tc>
          <w:tcPr>
            <w:tcW w:w="2005" w:type="dxa"/>
            <w:vAlign w:val="center"/>
          </w:tcPr>
          <w:p w14:paraId="3E8945E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Z7000725001829</w:t>
            </w:r>
          </w:p>
        </w:tc>
        <w:tc>
          <w:tcPr>
            <w:tcW w:w="1977" w:type="dxa"/>
            <w:vAlign w:val="center"/>
          </w:tcPr>
          <w:p w14:paraId="334B32A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66E380B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40CEE2D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0.05%</w:t>
            </w:r>
          </w:p>
        </w:tc>
      </w:tr>
      <w:tr w14:paraId="544F65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292E41AC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建信理财嘉鑫固收类封闭式产品2026年第45期</w:t>
            </w:r>
          </w:p>
        </w:tc>
        <w:tc>
          <w:tcPr>
            <w:tcW w:w="2005" w:type="dxa"/>
            <w:vAlign w:val="center"/>
          </w:tcPr>
          <w:p w14:paraId="18B046C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Z7000725001695</w:t>
            </w:r>
          </w:p>
        </w:tc>
        <w:tc>
          <w:tcPr>
            <w:tcW w:w="1977" w:type="dxa"/>
            <w:vAlign w:val="center"/>
          </w:tcPr>
          <w:p w14:paraId="22FCE9E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307AAE5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278D8863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0.05%</w:t>
            </w:r>
          </w:p>
        </w:tc>
      </w:tr>
      <w:tr w14:paraId="13376D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4810561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建信理财嘉鑫（债券精选）固收类封闭式产品2026年第121期</w:t>
            </w:r>
          </w:p>
        </w:tc>
        <w:tc>
          <w:tcPr>
            <w:tcW w:w="2005" w:type="dxa"/>
            <w:vAlign w:val="center"/>
          </w:tcPr>
          <w:p w14:paraId="1D8DB24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Z7000726000039</w:t>
            </w:r>
          </w:p>
        </w:tc>
        <w:tc>
          <w:tcPr>
            <w:tcW w:w="1977" w:type="dxa"/>
            <w:vAlign w:val="center"/>
          </w:tcPr>
          <w:p w14:paraId="5568379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39CFC2E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7BE9D89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0.05%</w:t>
            </w:r>
          </w:p>
        </w:tc>
      </w:tr>
      <w:tr w14:paraId="2EDA314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6E785475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建信理财嘉鑫固收类封闭式产品2026年第98期</w:t>
            </w:r>
          </w:p>
        </w:tc>
        <w:tc>
          <w:tcPr>
            <w:tcW w:w="2005" w:type="dxa"/>
            <w:vAlign w:val="center"/>
          </w:tcPr>
          <w:p w14:paraId="6368D78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Z7000725001798</w:t>
            </w:r>
          </w:p>
        </w:tc>
        <w:tc>
          <w:tcPr>
            <w:tcW w:w="1977" w:type="dxa"/>
            <w:vAlign w:val="center"/>
          </w:tcPr>
          <w:p w14:paraId="75A112B0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2026年2月5日</w:t>
            </w:r>
          </w:p>
        </w:tc>
        <w:tc>
          <w:tcPr>
            <w:tcW w:w="2168" w:type="dxa"/>
            <w:vAlign w:val="center"/>
          </w:tcPr>
          <w:p w14:paraId="78BE6FA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42163A1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  <w:tr w14:paraId="1F1E83C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2348F4E6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建信理财嘉鑫固收类封闭式产品2026年第99期</w:t>
            </w:r>
          </w:p>
        </w:tc>
        <w:tc>
          <w:tcPr>
            <w:tcW w:w="2005" w:type="dxa"/>
            <w:vAlign w:val="center"/>
          </w:tcPr>
          <w:p w14:paraId="4C88CE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Z7000725001774</w:t>
            </w:r>
          </w:p>
        </w:tc>
        <w:tc>
          <w:tcPr>
            <w:tcW w:w="1977" w:type="dxa"/>
            <w:vAlign w:val="center"/>
          </w:tcPr>
          <w:p w14:paraId="3085F53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2026年2月5日</w:t>
            </w:r>
          </w:p>
        </w:tc>
        <w:tc>
          <w:tcPr>
            <w:tcW w:w="2168" w:type="dxa"/>
            <w:vAlign w:val="center"/>
          </w:tcPr>
          <w:p w14:paraId="0304EC14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032A6DAF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  <w:tr w14:paraId="0AC5218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56DC439D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建信理财嘉鑫（债券精选）固收类封闭式产品2026年第116期</w:t>
            </w:r>
          </w:p>
        </w:tc>
        <w:tc>
          <w:tcPr>
            <w:tcW w:w="2005" w:type="dxa"/>
            <w:vAlign w:val="center"/>
          </w:tcPr>
          <w:p w14:paraId="0CE5A6DE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Z7000726000052</w:t>
            </w:r>
          </w:p>
        </w:tc>
        <w:tc>
          <w:tcPr>
            <w:tcW w:w="1977" w:type="dxa"/>
            <w:vAlign w:val="center"/>
          </w:tcPr>
          <w:p w14:paraId="392E82A3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2026年2月3日</w:t>
            </w:r>
          </w:p>
        </w:tc>
        <w:tc>
          <w:tcPr>
            <w:tcW w:w="2168" w:type="dxa"/>
            <w:vAlign w:val="center"/>
          </w:tcPr>
          <w:p w14:paraId="0037787C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0BE7BBD9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  <w:tr w14:paraId="4C21C7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793" w:type="dxa"/>
            <w:vAlign w:val="center"/>
          </w:tcPr>
          <w:p w14:paraId="5941AE5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建信理财嘉鑫（债券精选）固收类封闭式产品2026年第117期</w:t>
            </w:r>
          </w:p>
        </w:tc>
        <w:tc>
          <w:tcPr>
            <w:tcW w:w="2005" w:type="dxa"/>
            <w:vAlign w:val="center"/>
          </w:tcPr>
          <w:p w14:paraId="45C5D95A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Z7000726000067</w:t>
            </w:r>
          </w:p>
        </w:tc>
        <w:tc>
          <w:tcPr>
            <w:tcW w:w="1977" w:type="dxa"/>
            <w:vAlign w:val="center"/>
          </w:tcPr>
          <w:p w14:paraId="7096C9D8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2026年2月5日</w:t>
            </w:r>
          </w:p>
        </w:tc>
        <w:tc>
          <w:tcPr>
            <w:tcW w:w="2168" w:type="dxa"/>
            <w:vAlign w:val="center"/>
          </w:tcPr>
          <w:p w14:paraId="13B02561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0.10%</w:t>
            </w:r>
          </w:p>
        </w:tc>
        <w:tc>
          <w:tcPr>
            <w:tcW w:w="2164" w:type="dxa"/>
            <w:vAlign w:val="center"/>
          </w:tcPr>
          <w:p w14:paraId="299FB3EB"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0.01%</w:t>
            </w:r>
          </w:p>
        </w:tc>
      </w:tr>
    </w:tbl>
    <w:p w14:paraId="49485491">
      <w:pPr>
        <w:pStyle w:val="3"/>
        <w:spacing w:line="240" w:lineRule="auto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240" w:lineRule="auto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6CD6EEFA">
      <w:pPr>
        <w:pStyle w:val="3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28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彩虹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0290D18"/>
    <w:rsid w:val="002D01D5"/>
    <w:rsid w:val="002E20DA"/>
    <w:rsid w:val="002F36C3"/>
    <w:rsid w:val="00303577"/>
    <w:rsid w:val="00304F6C"/>
    <w:rsid w:val="0035757C"/>
    <w:rsid w:val="004637BC"/>
    <w:rsid w:val="004A16D9"/>
    <w:rsid w:val="006166F5"/>
    <w:rsid w:val="006D626D"/>
    <w:rsid w:val="007B00C8"/>
    <w:rsid w:val="008C6BAF"/>
    <w:rsid w:val="008C7590"/>
    <w:rsid w:val="00A36EF3"/>
    <w:rsid w:val="00AD74A4"/>
    <w:rsid w:val="00C10189"/>
    <w:rsid w:val="02463876"/>
    <w:rsid w:val="02E5268A"/>
    <w:rsid w:val="063B1146"/>
    <w:rsid w:val="0EF33893"/>
    <w:rsid w:val="120A7542"/>
    <w:rsid w:val="12F066A2"/>
    <w:rsid w:val="14430F2C"/>
    <w:rsid w:val="1CE407F6"/>
    <w:rsid w:val="1E703800"/>
    <w:rsid w:val="22F8694F"/>
    <w:rsid w:val="24955232"/>
    <w:rsid w:val="27AD03A5"/>
    <w:rsid w:val="27D54BC8"/>
    <w:rsid w:val="28897E94"/>
    <w:rsid w:val="298F1E12"/>
    <w:rsid w:val="2C7A1CCF"/>
    <w:rsid w:val="2E8D0030"/>
    <w:rsid w:val="32D75DF9"/>
    <w:rsid w:val="3535115B"/>
    <w:rsid w:val="35352A53"/>
    <w:rsid w:val="35A35F0C"/>
    <w:rsid w:val="35D36382"/>
    <w:rsid w:val="3B720EB4"/>
    <w:rsid w:val="3B8C4B13"/>
    <w:rsid w:val="3D5F0A9C"/>
    <w:rsid w:val="3F1F09EC"/>
    <w:rsid w:val="40531A52"/>
    <w:rsid w:val="42C46384"/>
    <w:rsid w:val="432937C0"/>
    <w:rsid w:val="4A2C110F"/>
    <w:rsid w:val="4AD351BA"/>
    <w:rsid w:val="4B8D4B24"/>
    <w:rsid w:val="508E21DE"/>
    <w:rsid w:val="543847B7"/>
    <w:rsid w:val="54CB2E50"/>
    <w:rsid w:val="58913FBE"/>
    <w:rsid w:val="5AB158C3"/>
    <w:rsid w:val="609108DC"/>
    <w:rsid w:val="6141071D"/>
    <w:rsid w:val="630E1F93"/>
    <w:rsid w:val="695732E1"/>
    <w:rsid w:val="6BA96FAE"/>
    <w:rsid w:val="724D0D96"/>
    <w:rsid w:val="72FF663B"/>
    <w:rsid w:val="735A21CD"/>
    <w:rsid w:val="73837D20"/>
    <w:rsid w:val="747B30DE"/>
    <w:rsid w:val="7657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font4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5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61"/>
    <w:basedOn w:val="5"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244</Characters>
  <Lines>9</Lines>
  <Paragraphs>8</Paragraphs>
  <TotalTime>1</TotalTime>
  <ScaleCrop>false</ScaleCrop>
  <LinksUpToDate>false</LinksUpToDate>
  <CharactersWithSpaces>471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2026-01-21T05:54:33Z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DEBD07D541514CE8A893BA008B1CDA01_11</vt:lpwstr>
  </property>
</Properties>
</file>