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99E52">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调整建信理财嘉鑫（稳利）法人版固收类按日开放式产品第119期产品规模上限</w:t>
      </w:r>
      <w:r>
        <w:rPr>
          <w:rFonts w:hint="eastAsia" w:ascii="彩虹小标宋" w:eastAsia="彩虹小标宋"/>
          <w:sz w:val="44"/>
          <w:szCs w:val="44"/>
        </w:rPr>
        <w:t>的公告</w:t>
      </w:r>
      <w:r>
        <w:rPr>
          <w:rFonts w:hint="eastAsia" w:ascii="彩虹小标宋" w:eastAsia="彩虹小标宋"/>
          <w:sz w:val="44"/>
          <w:szCs w:val="44"/>
          <w:lang w:val="en-US" w:eastAsia="zh-CN"/>
        </w:rPr>
        <w:t>-JXJXARGS251015119</w:t>
      </w:r>
    </w:p>
    <w:p w14:paraId="6BC5BED5">
      <w:pPr>
        <w:spacing w:line="560" w:lineRule="exact"/>
        <w:rPr>
          <w:rFonts w:ascii="彩虹粗仿宋" w:eastAsia="彩虹粗仿宋"/>
          <w:sz w:val="32"/>
          <w:szCs w:val="32"/>
        </w:rPr>
      </w:pPr>
    </w:p>
    <w:p w14:paraId="17889B32">
      <w:pPr>
        <w:keepNext w:val="0"/>
        <w:keepLines w:val="0"/>
        <w:pageBreakBefore w:val="0"/>
        <w:widowControl w:val="0"/>
        <w:kinsoku/>
        <w:wordWrap/>
        <w:overflowPunct/>
        <w:topLinePunct w:val="0"/>
        <w:autoSpaceDE/>
        <w:autoSpaceDN/>
        <w:bidi w:val="0"/>
        <w:adjustRightInd/>
        <w:snapToGrid/>
        <w:spacing w:line="560" w:lineRule="exact"/>
        <w:textAlignment w:val="auto"/>
        <w:rPr>
          <w:rFonts w:ascii="彩虹粗仿宋" w:eastAsia="彩虹粗仿宋"/>
          <w:sz w:val="32"/>
          <w:szCs w:val="32"/>
        </w:rPr>
      </w:pPr>
      <w:r>
        <w:rPr>
          <w:rFonts w:hint="eastAsia" w:ascii="彩虹粗仿宋" w:eastAsia="彩虹粗仿宋"/>
          <w:sz w:val="32"/>
          <w:szCs w:val="32"/>
        </w:rPr>
        <w:t>尊敬的投资者：</w:t>
      </w:r>
    </w:p>
    <w:p w14:paraId="3998F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eastAsia="彩虹粗仿宋"/>
          <w:sz w:val="32"/>
          <w:szCs w:val="32"/>
          <w:lang w:val="en-US" w:eastAsia="zh-CN"/>
        </w:rPr>
      </w:pPr>
      <w:r>
        <w:rPr>
          <w:rFonts w:hint="eastAsia" w:ascii="彩虹粗仿宋" w:eastAsia="彩虹粗仿宋"/>
          <w:sz w:val="32"/>
          <w:szCs w:val="32"/>
        </w:rPr>
        <w:t>为更好地提供理财服务，</w:t>
      </w:r>
      <w:r>
        <w:rPr>
          <w:rFonts w:hint="eastAsia" w:ascii="彩虹粗仿宋" w:eastAsia="彩虹粗仿宋"/>
          <w:sz w:val="32"/>
          <w:szCs w:val="32"/>
          <w:lang w:val="en-US" w:eastAsia="zh-CN"/>
        </w:rPr>
        <w:t>建信理财</w:t>
      </w:r>
      <w:r>
        <w:rPr>
          <w:rFonts w:hint="eastAsia" w:ascii="彩虹粗仿宋" w:eastAsia="彩虹粗仿宋"/>
          <w:sz w:val="32"/>
          <w:szCs w:val="32"/>
        </w:rPr>
        <w:t>将于</w:t>
      </w:r>
      <w:r>
        <w:rPr>
          <w:rFonts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2</w:t>
      </w:r>
      <w:r>
        <w:rPr>
          <w:rFonts w:hint="eastAsia" w:ascii="彩虹粗仿宋" w:eastAsia="彩虹粗仿宋"/>
          <w:sz w:val="32"/>
          <w:szCs w:val="32"/>
        </w:rPr>
        <w:t>月</w:t>
      </w:r>
      <w:r>
        <w:rPr>
          <w:rFonts w:hint="eastAsia" w:ascii="彩虹粗仿宋" w:eastAsia="彩虹粗仿宋"/>
          <w:sz w:val="32"/>
          <w:szCs w:val="32"/>
          <w:lang w:val="en-US" w:eastAsia="zh-CN"/>
        </w:rPr>
        <w:t>9</w:t>
      </w:r>
      <w:r>
        <w:rPr>
          <w:rFonts w:hint="eastAsia" w:ascii="彩虹粗仿宋" w:eastAsia="彩虹粗仿宋"/>
          <w:sz w:val="32"/>
          <w:szCs w:val="32"/>
        </w:rPr>
        <w:t>日</w:t>
      </w:r>
      <w:r>
        <w:rPr>
          <w:rFonts w:hint="eastAsia" w:ascii="彩虹粗仿宋" w:eastAsia="彩虹粗仿宋"/>
          <w:sz w:val="32"/>
          <w:szCs w:val="32"/>
          <w:lang w:eastAsia="zh-CN"/>
        </w:rPr>
        <w:t>（</w:t>
      </w:r>
      <w:r>
        <w:rPr>
          <w:rFonts w:hint="eastAsia" w:ascii="彩虹粗仿宋" w:eastAsia="彩虹粗仿宋"/>
          <w:sz w:val="32"/>
          <w:szCs w:val="32"/>
          <w:lang w:val="en-US" w:eastAsia="zh-CN"/>
        </w:rPr>
        <w:t>含</w:t>
      </w:r>
      <w:r>
        <w:rPr>
          <w:rFonts w:hint="eastAsia" w:ascii="彩虹粗仿宋" w:eastAsia="彩虹粗仿宋"/>
          <w:sz w:val="32"/>
          <w:szCs w:val="32"/>
          <w:lang w:eastAsia="zh-CN"/>
        </w:rPr>
        <w:t>）</w:t>
      </w:r>
      <w:r>
        <w:rPr>
          <w:rFonts w:hint="eastAsia" w:ascii="彩虹粗仿宋" w:eastAsia="彩虹粗仿宋"/>
          <w:sz w:val="32"/>
          <w:szCs w:val="32"/>
          <w:lang w:val="en-US" w:eastAsia="zh-CN"/>
        </w:rPr>
        <w:t>起调整</w:t>
      </w:r>
      <w:r>
        <w:rPr>
          <w:rFonts w:hint="eastAsia" w:ascii="彩虹粗仿宋" w:eastAsia="彩虹粗仿宋"/>
          <w:sz w:val="32"/>
          <w:szCs w:val="32"/>
        </w:rPr>
        <w:t>建信理财嘉鑫（稳利）法人版固收类按日开放式产品第119期（全国银行业理财信息登记系统编码：Z7000725001326）</w:t>
      </w:r>
      <w:r>
        <w:rPr>
          <w:rFonts w:hint="eastAsia" w:ascii="彩虹粗仿宋" w:eastAsia="彩虹粗仿宋"/>
          <w:sz w:val="32"/>
          <w:szCs w:val="32"/>
          <w:lang w:val="en-US" w:eastAsia="zh-CN"/>
        </w:rPr>
        <w:t>产品规模上限</w:t>
      </w:r>
      <w:r>
        <w:rPr>
          <w:rFonts w:hint="eastAsia" w:ascii="彩虹粗仿宋" w:eastAsia="彩虹粗仿宋"/>
          <w:sz w:val="32"/>
          <w:szCs w:val="32"/>
        </w:rPr>
        <w:t>。</w:t>
      </w:r>
    </w:p>
    <w:tbl>
      <w:tblPr>
        <w:tblStyle w:val="10"/>
        <w:tblpPr w:leftFromText="180" w:rightFromText="180" w:vertAnchor="text" w:horzAnchor="page" w:tblpXSpec="center" w:tblpY="479"/>
        <w:tblOverlap w:val="never"/>
        <w:tblW w:w="8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9"/>
        <w:gridCol w:w="2178"/>
        <w:gridCol w:w="2355"/>
      </w:tblGrid>
      <w:tr w14:paraId="0DA8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9" w:type="dxa"/>
            <w:vAlign w:val="center"/>
          </w:tcPr>
          <w:p w14:paraId="506DD968">
            <w:pPr>
              <w:spacing w:line="240" w:lineRule="auto"/>
              <w:jc w:val="center"/>
              <w:rPr>
                <w:rFonts w:hint="eastAsia"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名称</w:t>
            </w:r>
          </w:p>
        </w:tc>
        <w:tc>
          <w:tcPr>
            <w:tcW w:w="2178" w:type="dxa"/>
            <w:vAlign w:val="center"/>
          </w:tcPr>
          <w:p w14:paraId="6A224802">
            <w:pPr>
              <w:spacing w:line="240" w:lineRule="auto"/>
              <w:jc w:val="center"/>
              <w:rPr>
                <w:rFonts w:hint="default" w:ascii="彩虹粗仿宋" w:eastAsia="彩虹粗仿宋"/>
                <w:b/>
                <w:bCs/>
                <w:sz w:val="21"/>
                <w:szCs w:val="21"/>
                <w:vertAlign w:val="baseline"/>
                <w:lang w:val="en-US" w:eastAsia="zh-CN"/>
              </w:rPr>
            </w:pPr>
            <w:r>
              <w:rPr>
                <w:rFonts w:hint="default" w:ascii="彩虹粗仿宋" w:eastAsia="彩虹粗仿宋"/>
                <w:b/>
                <w:bCs/>
                <w:sz w:val="21"/>
                <w:szCs w:val="21"/>
                <w:vertAlign w:val="baseline"/>
                <w:lang w:val="en-US" w:eastAsia="zh-CN"/>
              </w:rPr>
              <w:t>产品</w:t>
            </w:r>
            <w:r>
              <w:rPr>
                <w:rFonts w:hint="eastAsia" w:ascii="彩虹粗仿宋" w:eastAsia="彩虹粗仿宋"/>
                <w:b/>
                <w:bCs/>
                <w:sz w:val="21"/>
                <w:szCs w:val="21"/>
                <w:vertAlign w:val="baseline"/>
                <w:lang w:val="en-US" w:eastAsia="zh-CN"/>
              </w:rPr>
              <w:t>规模</w:t>
            </w:r>
            <w:r>
              <w:rPr>
                <w:rFonts w:hint="default" w:ascii="彩虹粗仿宋" w:eastAsia="彩虹粗仿宋"/>
                <w:b/>
                <w:bCs/>
                <w:sz w:val="21"/>
                <w:szCs w:val="21"/>
                <w:vertAlign w:val="baseline"/>
                <w:lang w:val="en-US" w:eastAsia="zh-CN"/>
              </w:rPr>
              <w:t>上限</w:t>
            </w:r>
          </w:p>
          <w:p w14:paraId="418E7D00">
            <w:pPr>
              <w:spacing w:line="240" w:lineRule="auto"/>
              <w:jc w:val="center"/>
              <w:rPr>
                <w:rFonts w:hint="default" w:ascii="彩虹粗仿宋" w:eastAsia="彩虹粗仿宋"/>
                <w:b/>
                <w:bCs/>
                <w:sz w:val="21"/>
                <w:szCs w:val="21"/>
                <w:vertAlign w:val="baseline"/>
                <w:lang w:val="en-US" w:eastAsia="zh-CN"/>
              </w:rPr>
            </w:pPr>
            <w:r>
              <w:rPr>
                <w:rFonts w:hint="eastAsia" w:ascii="彩虹粗仿宋" w:eastAsia="彩虹粗仿宋"/>
                <w:b/>
                <w:bCs/>
                <w:sz w:val="21"/>
                <w:szCs w:val="21"/>
                <w:vertAlign w:val="baseline"/>
                <w:lang w:val="en-US" w:eastAsia="zh-CN"/>
              </w:rPr>
              <w:t>（调整前）</w:t>
            </w:r>
          </w:p>
        </w:tc>
        <w:tc>
          <w:tcPr>
            <w:tcW w:w="2355" w:type="dxa"/>
            <w:vAlign w:val="center"/>
          </w:tcPr>
          <w:p w14:paraId="02156EDA">
            <w:pPr>
              <w:spacing w:line="240" w:lineRule="auto"/>
              <w:jc w:val="center"/>
              <w:rPr>
                <w:rFonts w:hint="default" w:ascii="彩虹粗仿宋" w:eastAsia="彩虹粗仿宋"/>
                <w:b/>
                <w:bCs/>
                <w:sz w:val="21"/>
                <w:szCs w:val="21"/>
                <w:vertAlign w:val="baseline"/>
                <w:lang w:val="en-US" w:eastAsia="zh-CN"/>
              </w:rPr>
            </w:pPr>
            <w:r>
              <w:rPr>
                <w:rFonts w:hint="default" w:ascii="彩虹粗仿宋" w:eastAsia="彩虹粗仿宋"/>
                <w:b/>
                <w:bCs/>
                <w:sz w:val="21"/>
                <w:szCs w:val="21"/>
                <w:vertAlign w:val="baseline"/>
                <w:lang w:val="en-US" w:eastAsia="zh-CN"/>
              </w:rPr>
              <w:t>产品</w:t>
            </w:r>
            <w:r>
              <w:rPr>
                <w:rFonts w:hint="eastAsia" w:ascii="彩虹粗仿宋" w:eastAsia="彩虹粗仿宋"/>
                <w:b/>
                <w:bCs/>
                <w:sz w:val="21"/>
                <w:szCs w:val="21"/>
                <w:vertAlign w:val="baseline"/>
                <w:lang w:val="en-US" w:eastAsia="zh-CN"/>
              </w:rPr>
              <w:t>规模</w:t>
            </w:r>
            <w:r>
              <w:rPr>
                <w:rFonts w:hint="default" w:ascii="彩虹粗仿宋" w:eastAsia="彩虹粗仿宋"/>
                <w:b/>
                <w:bCs/>
                <w:sz w:val="21"/>
                <w:szCs w:val="21"/>
                <w:vertAlign w:val="baseline"/>
                <w:lang w:val="en-US" w:eastAsia="zh-CN"/>
              </w:rPr>
              <w:t>上限</w:t>
            </w:r>
          </w:p>
          <w:p w14:paraId="379581FF">
            <w:pPr>
              <w:spacing w:line="240" w:lineRule="auto"/>
              <w:jc w:val="center"/>
              <w:rPr>
                <w:rFonts w:hint="default" w:ascii="彩虹粗仿宋" w:eastAsia="彩虹粗仿宋"/>
                <w:b/>
                <w:bCs/>
                <w:sz w:val="21"/>
                <w:szCs w:val="21"/>
                <w:vertAlign w:val="baseline"/>
                <w:lang w:val="en-US" w:eastAsia="zh-CN"/>
              </w:rPr>
            </w:pPr>
            <w:bookmarkStart w:id="0" w:name="_GoBack"/>
            <w:bookmarkEnd w:id="0"/>
            <w:r>
              <w:rPr>
                <w:rFonts w:hint="eastAsia" w:ascii="彩虹粗仿宋" w:eastAsia="彩虹粗仿宋"/>
                <w:b/>
                <w:bCs/>
                <w:sz w:val="21"/>
                <w:szCs w:val="21"/>
                <w:vertAlign w:val="baseline"/>
                <w:lang w:val="en-US" w:eastAsia="zh-CN"/>
              </w:rPr>
              <w:t>（调整后）</w:t>
            </w:r>
          </w:p>
        </w:tc>
      </w:tr>
      <w:tr w14:paraId="009F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4009" w:type="dxa"/>
            <w:vAlign w:val="center"/>
          </w:tcPr>
          <w:p w14:paraId="67735040">
            <w:pPr>
              <w:spacing w:line="240" w:lineRule="auto"/>
              <w:jc w:val="center"/>
              <w:rPr>
                <w:rFonts w:hint="default" w:ascii="彩虹粗仿宋" w:eastAsia="彩虹粗仿宋"/>
                <w:sz w:val="21"/>
                <w:szCs w:val="21"/>
                <w:vertAlign w:val="baseline"/>
                <w:lang w:val="en-US" w:eastAsia="zh-CN"/>
              </w:rPr>
            </w:pPr>
            <w:r>
              <w:rPr>
                <w:rFonts w:hint="default" w:ascii="彩虹粗仿宋" w:eastAsia="彩虹粗仿宋"/>
                <w:sz w:val="21"/>
                <w:szCs w:val="21"/>
                <w:vertAlign w:val="baseline"/>
                <w:lang w:val="en-US" w:eastAsia="zh-CN"/>
              </w:rPr>
              <w:t>建信理财嘉鑫（稳利）法人版固收类按日开放式产品第119期</w:t>
            </w:r>
          </w:p>
        </w:tc>
        <w:tc>
          <w:tcPr>
            <w:tcW w:w="2178" w:type="dxa"/>
            <w:vAlign w:val="center"/>
          </w:tcPr>
          <w:p w14:paraId="05383427">
            <w:pPr>
              <w:spacing w:line="240" w:lineRule="auto"/>
              <w:jc w:val="center"/>
              <w:rPr>
                <w:rFonts w:hint="default" w:ascii="彩虹粗仿宋" w:eastAsia="彩虹粗仿宋"/>
                <w:sz w:val="21"/>
                <w:szCs w:val="21"/>
                <w:vertAlign w:val="baseline"/>
                <w:lang w:val="en-US" w:eastAsia="zh-CN"/>
              </w:rPr>
            </w:pPr>
            <w:r>
              <w:rPr>
                <w:rFonts w:hint="eastAsia" w:ascii="彩虹粗仿宋" w:eastAsia="彩虹粗仿宋"/>
                <w:sz w:val="21"/>
                <w:szCs w:val="21"/>
                <w:vertAlign w:val="baseline"/>
                <w:lang w:val="en-US" w:eastAsia="zh-CN"/>
              </w:rPr>
              <w:t>不超过10亿份</w:t>
            </w:r>
          </w:p>
        </w:tc>
        <w:tc>
          <w:tcPr>
            <w:tcW w:w="2355" w:type="dxa"/>
            <w:vAlign w:val="center"/>
          </w:tcPr>
          <w:p w14:paraId="5D873E06">
            <w:pPr>
              <w:spacing w:line="240" w:lineRule="auto"/>
              <w:jc w:val="center"/>
              <w:rPr>
                <w:rFonts w:hint="eastAsia" w:ascii="彩虹粗仿宋" w:eastAsia="彩虹粗仿宋"/>
                <w:sz w:val="21"/>
                <w:szCs w:val="21"/>
                <w:vertAlign w:val="baseline"/>
              </w:rPr>
            </w:pPr>
            <w:r>
              <w:rPr>
                <w:rFonts w:hint="eastAsia" w:ascii="彩虹粗仿宋" w:eastAsia="彩虹粗仿宋"/>
                <w:sz w:val="21"/>
                <w:szCs w:val="21"/>
                <w:vertAlign w:val="baseline"/>
                <w:lang w:val="en-US" w:eastAsia="zh-CN"/>
              </w:rPr>
              <w:t>不超过13亿份</w:t>
            </w:r>
          </w:p>
        </w:tc>
      </w:tr>
    </w:tbl>
    <w:p w14:paraId="03D9E3BE">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2DA1A337">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2A33C18B">
      <w:pPr>
        <w:spacing w:line="560" w:lineRule="exact"/>
        <w:ind w:firstLine="640" w:firstLineChars="200"/>
        <w:rPr>
          <w:rFonts w:ascii="彩虹粗仿宋" w:eastAsia="彩虹粗仿宋"/>
          <w:sz w:val="32"/>
          <w:szCs w:val="32"/>
        </w:rPr>
      </w:pPr>
    </w:p>
    <w:p w14:paraId="078B9DAE">
      <w:pPr>
        <w:spacing w:line="560" w:lineRule="exact"/>
        <w:ind w:firstLine="640" w:firstLineChars="200"/>
        <w:rPr>
          <w:rFonts w:ascii="彩虹粗仿宋" w:eastAsia="彩虹粗仿宋"/>
          <w:sz w:val="32"/>
          <w:szCs w:val="32"/>
        </w:rPr>
      </w:pPr>
    </w:p>
    <w:p w14:paraId="548A4C1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F64DD9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2</w:t>
      </w:r>
      <w:r>
        <w:rPr>
          <w:rFonts w:hint="eastAsia" w:ascii="彩虹粗仿宋" w:eastAsia="彩虹粗仿宋"/>
          <w:sz w:val="32"/>
          <w:szCs w:val="32"/>
        </w:rPr>
        <w:t>月</w:t>
      </w:r>
      <w:r>
        <w:rPr>
          <w:rFonts w:hint="eastAsia" w:ascii="彩虹粗仿宋" w:eastAsia="彩虹粗仿宋"/>
          <w:sz w:val="32"/>
          <w:szCs w:val="32"/>
          <w:lang w:val="en-US" w:eastAsia="zh-CN"/>
        </w:rPr>
        <w:t>9</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7C36B9E"/>
    <w:rsid w:val="0B692294"/>
    <w:rsid w:val="0DE4769D"/>
    <w:rsid w:val="19D8550B"/>
    <w:rsid w:val="1E5C58CD"/>
    <w:rsid w:val="1FAD1145"/>
    <w:rsid w:val="25A32D1B"/>
    <w:rsid w:val="2AC829A5"/>
    <w:rsid w:val="35C843A0"/>
    <w:rsid w:val="378709BB"/>
    <w:rsid w:val="398137B6"/>
    <w:rsid w:val="51661225"/>
    <w:rsid w:val="56184360"/>
    <w:rsid w:val="5D7819E8"/>
    <w:rsid w:val="6563093F"/>
    <w:rsid w:val="67A35B67"/>
    <w:rsid w:val="69C7466E"/>
    <w:rsid w:val="72AE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4"/>
    <w:semiHidden/>
    <w:unhideWhenUsed/>
    <w:qFormat/>
    <w:uiPriority w:val="99"/>
    <w:pPr>
      <w:jc w:val="left"/>
    </w:p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5"/>
    <w:semiHidden/>
    <w:unhideWhenUsed/>
    <w:qFormat/>
    <w:uiPriority w:val="99"/>
    <w:rPr>
      <w:b/>
      <w:bCs/>
    </w:rPr>
  </w:style>
  <w:style w:type="paragraph" w:styleId="9">
    <w:name w:val="Balloon Text"/>
    <w:basedOn w:val="1"/>
    <w:link w:val="13"/>
    <w:semiHidden/>
    <w:unhideWhenUsed/>
    <w:qFormat/>
    <w:uiPriority w:val="99"/>
    <w:rPr>
      <w:sz w:val="18"/>
      <w:szCs w:val="18"/>
    </w:rPr>
  </w:style>
  <w:style w:type="table" w:styleId="10">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2"/>
    <w:link w:val="5"/>
    <w:qFormat/>
    <w:uiPriority w:val="99"/>
    <w:rPr>
      <w:sz w:val="18"/>
      <w:szCs w:val="18"/>
    </w:rPr>
  </w:style>
  <w:style w:type="character" w:customStyle="1" w:styleId="12">
    <w:name w:val="页脚 字符"/>
    <w:basedOn w:val="2"/>
    <w:link w:val="7"/>
    <w:qFormat/>
    <w:uiPriority w:val="99"/>
    <w:rPr>
      <w:sz w:val="18"/>
      <w:szCs w:val="18"/>
    </w:rPr>
  </w:style>
  <w:style w:type="character" w:customStyle="1" w:styleId="13">
    <w:name w:val="批注框文本 字符"/>
    <w:basedOn w:val="2"/>
    <w:link w:val="9"/>
    <w:semiHidden/>
    <w:qFormat/>
    <w:uiPriority w:val="99"/>
    <w:rPr>
      <w:sz w:val="18"/>
      <w:szCs w:val="18"/>
    </w:rPr>
  </w:style>
  <w:style w:type="character" w:customStyle="1" w:styleId="14">
    <w:name w:val="批注文字 字符"/>
    <w:basedOn w:val="2"/>
    <w:link w:val="6"/>
    <w:semiHidden/>
    <w:qFormat/>
    <w:uiPriority w:val="99"/>
  </w:style>
  <w:style w:type="character" w:customStyle="1" w:styleId="15">
    <w:name w:val="批注主题 字符"/>
    <w:basedOn w:val="14"/>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5</TotalTime>
  <ScaleCrop>false</ScaleCrop>
  <LinksUpToDate>false</LinksUpToDate>
  <CharactersWithSpaces>370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2026-02-09T02:49:18Z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C1EDFD51DA2A4D1EBE00AC83128DBA3B_13</vt:lpwstr>
  </property>
</Properties>
</file>