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4AAA0">
      <w:pPr>
        <w:jc w:val="center"/>
        <w:rPr>
          <w:rFonts w:hint="eastAsia" w:ascii="彩虹小标宋" w:eastAsia="彩虹小标宋"/>
          <w:sz w:val="40"/>
          <w:szCs w:val="40"/>
          <w:lang w:val="en-US" w:eastAsia="zh-CN"/>
        </w:rPr>
      </w:pPr>
      <w:r>
        <w:rPr>
          <w:rFonts w:hint="eastAsia" w:ascii="彩虹小标宋" w:eastAsia="彩虹小标宋"/>
          <w:sz w:val="40"/>
          <w:szCs w:val="40"/>
        </w:rPr>
        <w:t>关于</w:t>
      </w:r>
      <w:r>
        <w:rPr>
          <w:rFonts w:hint="eastAsia" w:ascii="彩虹小标宋" w:eastAsia="彩虹小标宋"/>
          <w:sz w:val="40"/>
          <w:szCs w:val="40"/>
          <w:lang w:val="en-US" w:eastAsia="zh-CN"/>
        </w:rPr>
        <w:t>调整</w:t>
      </w:r>
      <w:r>
        <w:rPr>
          <w:rFonts w:hint="eastAsia" w:ascii="彩虹小标宋" w:eastAsia="彩虹小标宋"/>
          <w:sz w:val="40"/>
          <w:szCs w:val="40"/>
          <w:lang w:eastAsia="zh-CN"/>
        </w:rPr>
        <w:t>建信理财部分产品</w:t>
      </w:r>
      <w:r>
        <w:rPr>
          <w:rFonts w:hint="eastAsia" w:ascii="彩虹小标宋" w:eastAsia="彩虹小标宋"/>
          <w:sz w:val="40"/>
          <w:szCs w:val="40"/>
        </w:rPr>
        <w:t>单日</w:t>
      </w:r>
      <w:r>
        <w:rPr>
          <w:rFonts w:hint="eastAsia" w:ascii="彩虹小标宋" w:eastAsia="彩虹小标宋"/>
          <w:sz w:val="40"/>
          <w:szCs w:val="40"/>
          <w:lang w:val="en-US" w:eastAsia="zh-CN"/>
        </w:rPr>
        <w:t>净</w:t>
      </w:r>
      <w:r>
        <w:rPr>
          <w:rFonts w:hint="eastAsia" w:ascii="彩虹小标宋" w:eastAsia="彩虹小标宋"/>
          <w:sz w:val="40"/>
          <w:szCs w:val="40"/>
        </w:rPr>
        <w:t>申购</w:t>
      </w:r>
      <w:r>
        <w:rPr>
          <w:rFonts w:hint="eastAsia" w:ascii="彩虹小标宋" w:eastAsia="彩虹小标宋"/>
          <w:sz w:val="40"/>
          <w:szCs w:val="40"/>
          <w:lang w:val="en-US" w:eastAsia="zh-CN"/>
        </w:rPr>
        <w:t>限</w:t>
      </w:r>
      <w:r>
        <w:rPr>
          <w:rFonts w:hint="eastAsia" w:ascii="彩虹小标宋" w:eastAsia="彩虹小标宋"/>
          <w:sz w:val="40"/>
          <w:szCs w:val="40"/>
        </w:rPr>
        <w:t>额的公告</w:t>
      </w:r>
    </w:p>
    <w:p w14:paraId="6AD16C0B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15F35134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21D807C7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  <w:lang w:val="en-US" w:eastAsia="zh-CN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于2026年2月12日（含）至2026年2月13日（含）调整</w:t>
      </w:r>
      <w:r>
        <w:rPr>
          <w:rFonts w:hint="eastAsia" w:ascii="彩虹粗仿宋" w:eastAsia="彩虹粗仿宋"/>
          <w:sz w:val="32"/>
          <w:szCs w:val="32"/>
        </w:rPr>
        <w:t>建信理财部分产品的单日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净</w:t>
      </w:r>
      <w:r>
        <w:rPr>
          <w:rFonts w:hint="eastAsia" w:ascii="彩虹粗仿宋" w:eastAsia="彩虹粗仿宋"/>
          <w:sz w:val="32"/>
          <w:szCs w:val="32"/>
        </w:rPr>
        <w:t>申购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限额（单日累计申购</w:t>
      </w:r>
      <w:bookmarkStart w:id="0" w:name="_GoBack"/>
      <w:bookmarkEnd w:id="0"/>
      <w:r>
        <w:rPr>
          <w:rFonts w:hint="eastAsia" w:ascii="彩虹粗仿宋" w:eastAsia="彩虹粗仿宋"/>
          <w:sz w:val="32"/>
          <w:szCs w:val="32"/>
          <w:lang w:val="en-US" w:eastAsia="zh-CN"/>
        </w:rPr>
        <w:t>总金额-单日累计赎回总金额），2026年2月14日起恢复至单日净申购无限制。具体如下：</w:t>
      </w:r>
    </w:p>
    <w:tbl>
      <w:tblPr>
        <w:tblStyle w:val="10"/>
        <w:tblW w:w="8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9"/>
        <w:gridCol w:w="2055"/>
        <w:gridCol w:w="2256"/>
        <w:gridCol w:w="2256"/>
      </w:tblGrid>
      <w:tr w14:paraId="5FCA1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9" w:type="dxa"/>
            <w:vAlign w:val="center"/>
          </w:tcPr>
          <w:p w14:paraId="3969BA1D">
            <w:pPr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055" w:type="dxa"/>
            <w:vAlign w:val="center"/>
          </w:tcPr>
          <w:p w14:paraId="29F87A4A">
            <w:pPr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全国银行业理财信息登记系统编号</w:t>
            </w:r>
          </w:p>
        </w:tc>
        <w:tc>
          <w:tcPr>
            <w:tcW w:w="2256" w:type="dxa"/>
            <w:vAlign w:val="center"/>
          </w:tcPr>
          <w:p w14:paraId="481EE7AA">
            <w:pPr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单日净申购限额（调整前）</w:t>
            </w:r>
          </w:p>
        </w:tc>
        <w:tc>
          <w:tcPr>
            <w:tcW w:w="2256" w:type="dxa"/>
            <w:vAlign w:val="center"/>
          </w:tcPr>
          <w:p w14:paraId="6BCAA7C4">
            <w:pPr>
              <w:spacing w:line="560" w:lineRule="exact"/>
              <w:ind w:left="0" w:leftChars="0"/>
              <w:jc w:val="center"/>
              <w:rPr>
                <w:rFonts w:hint="default" w:ascii="彩虹粗仿宋" w:eastAsia="彩虹粗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单日净申购限额（调整后）</w:t>
            </w:r>
          </w:p>
        </w:tc>
      </w:tr>
      <w:tr w14:paraId="21F62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9" w:type="dxa"/>
            <w:vAlign w:val="center"/>
          </w:tcPr>
          <w:p w14:paraId="1E92B531">
            <w:pPr>
              <w:widowControl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建信理财嘉鑫（稳利）法人版固收类按日开放式产品第4期</w:t>
            </w:r>
          </w:p>
        </w:tc>
        <w:tc>
          <w:tcPr>
            <w:tcW w:w="2055" w:type="dxa"/>
            <w:vAlign w:val="center"/>
          </w:tcPr>
          <w:p w14:paraId="54C41CE5">
            <w:pPr>
              <w:spacing w:line="264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Z7000724000959</w:t>
            </w:r>
          </w:p>
        </w:tc>
        <w:tc>
          <w:tcPr>
            <w:tcW w:w="2256" w:type="dxa"/>
            <w:vAlign w:val="center"/>
          </w:tcPr>
          <w:p w14:paraId="0A8D17CB">
            <w:pPr>
              <w:spacing w:line="264" w:lineRule="auto"/>
              <w:ind w:left="0" w:left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无限制</w:t>
            </w:r>
          </w:p>
        </w:tc>
        <w:tc>
          <w:tcPr>
            <w:tcW w:w="2256" w:type="dxa"/>
            <w:vAlign w:val="center"/>
          </w:tcPr>
          <w:p w14:paraId="5CD2583C">
            <w:pPr>
              <w:spacing w:line="264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不超过50亿份</w:t>
            </w:r>
          </w:p>
        </w:tc>
      </w:tr>
      <w:tr w14:paraId="08CE3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9" w:type="dxa"/>
            <w:vAlign w:val="center"/>
          </w:tcPr>
          <w:p w14:paraId="2F362D7C">
            <w:pPr>
              <w:widowControl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建信理财嘉鑫固收类按日开放式产品第19期</w:t>
            </w:r>
          </w:p>
        </w:tc>
        <w:tc>
          <w:tcPr>
            <w:tcW w:w="2055" w:type="dxa"/>
            <w:vAlign w:val="center"/>
          </w:tcPr>
          <w:p w14:paraId="130B53C6">
            <w:pPr>
              <w:spacing w:line="264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Z7000724000630</w:t>
            </w:r>
          </w:p>
        </w:tc>
        <w:tc>
          <w:tcPr>
            <w:tcW w:w="2256" w:type="dxa"/>
            <w:vAlign w:val="center"/>
          </w:tcPr>
          <w:p w14:paraId="73C0AC6F">
            <w:pPr>
              <w:spacing w:line="264" w:lineRule="auto"/>
              <w:ind w:left="0" w:left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无限制</w:t>
            </w:r>
          </w:p>
        </w:tc>
        <w:tc>
          <w:tcPr>
            <w:tcW w:w="2256" w:type="dxa"/>
          </w:tcPr>
          <w:p w14:paraId="5B1C8A85">
            <w:pPr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不超过50亿份</w:t>
            </w:r>
          </w:p>
        </w:tc>
      </w:tr>
      <w:tr w14:paraId="55FF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9" w:type="dxa"/>
            <w:vAlign w:val="center"/>
          </w:tcPr>
          <w:p w14:paraId="3AC2C9C4">
            <w:pPr>
              <w:widowControl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建信理财嘉鑫固收类按日（法人客户尊享版）开放式产品第1期</w:t>
            </w:r>
          </w:p>
        </w:tc>
        <w:tc>
          <w:tcPr>
            <w:tcW w:w="2055" w:type="dxa"/>
            <w:vAlign w:val="center"/>
          </w:tcPr>
          <w:p w14:paraId="10EC961F">
            <w:pPr>
              <w:spacing w:line="264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Z7000724000366</w:t>
            </w:r>
          </w:p>
        </w:tc>
        <w:tc>
          <w:tcPr>
            <w:tcW w:w="2256" w:type="dxa"/>
            <w:vAlign w:val="center"/>
          </w:tcPr>
          <w:p w14:paraId="29EB049B">
            <w:pPr>
              <w:spacing w:line="264" w:lineRule="auto"/>
              <w:ind w:left="0" w:left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无限制</w:t>
            </w:r>
          </w:p>
        </w:tc>
        <w:tc>
          <w:tcPr>
            <w:tcW w:w="2256" w:type="dxa"/>
            <w:vAlign w:val="center"/>
          </w:tcPr>
          <w:p w14:paraId="091500C2">
            <w:pPr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不超过25亿份</w:t>
            </w:r>
          </w:p>
        </w:tc>
      </w:tr>
      <w:tr w14:paraId="4599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9" w:type="dxa"/>
            <w:vAlign w:val="center"/>
          </w:tcPr>
          <w:p w14:paraId="6B33A433">
            <w:pPr>
              <w:widowControl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建信理财嘉鑫（稳利）法人版固收类按日开放式产品第1期</w:t>
            </w:r>
          </w:p>
        </w:tc>
        <w:tc>
          <w:tcPr>
            <w:tcW w:w="2055" w:type="dxa"/>
            <w:vAlign w:val="center"/>
          </w:tcPr>
          <w:p w14:paraId="18E90B74">
            <w:pPr>
              <w:spacing w:line="264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Z7000724000960</w:t>
            </w:r>
          </w:p>
        </w:tc>
        <w:tc>
          <w:tcPr>
            <w:tcW w:w="2256" w:type="dxa"/>
            <w:vAlign w:val="center"/>
          </w:tcPr>
          <w:p w14:paraId="027139EE">
            <w:pPr>
              <w:spacing w:line="264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无限制</w:t>
            </w:r>
          </w:p>
        </w:tc>
        <w:tc>
          <w:tcPr>
            <w:tcW w:w="2256" w:type="dxa"/>
            <w:vAlign w:val="center"/>
          </w:tcPr>
          <w:p w14:paraId="3615D500">
            <w:pPr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不超过5亿份</w:t>
            </w:r>
          </w:p>
        </w:tc>
      </w:tr>
      <w:tr w14:paraId="68BD7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9" w:type="dxa"/>
            <w:vAlign w:val="center"/>
          </w:tcPr>
          <w:p w14:paraId="39429029">
            <w:pPr>
              <w:widowControl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建信理财嘉鑫（稳利）法人版固收类按日开放式产品第17期</w:t>
            </w:r>
          </w:p>
        </w:tc>
        <w:tc>
          <w:tcPr>
            <w:tcW w:w="2055" w:type="dxa"/>
            <w:vAlign w:val="center"/>
          </w:tcPr>
          <w:p w14:paraId="2155E215">
            <w:pPr>
              <w:spacing w:line="264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Z7000725000271</w:t>
            </w:r>
          </w:p>
        </w:tc>
        <w:tc>
          <w:tcPr>
            <w:tcW w:w="2256" w:type="dxa"/>
            <w:vAlign w:val="center"/>
          </w:tcPr>
          <w:p w14:paraId="12F6303B">
            <w:pPr>
              <w:spacing w:line="264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无限制</w:t>
            </w:r>
          </w:p>
        </w:tc>
        <w:tc>
          <w:tcPr>
            <w:tcW w:w="2256" w:type="dxa"/>
            <w:vAlign w:val="center"/>
          </w:tcPr>
          <w:p w14:paraId="10AFDA48">
            <w:pPr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不超过30亿份</w:t>
            </w:r>
          </w:p>
        </w:tc>
      </w:tr>
      <w:tr w14:paraId="61A4F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9" w:type="dxa"/>
            <w:vAlign w:val="center"/>
          </w:tcPr>
          <w:p w14:paraId="6BF8491F">
            <w:pPr>
              <w:widowControl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建信理财嘉鑫（法人版）固收类按日开放式产品第1期</w:t>
            </w:r>
          </w:p>
        </w:tc>
        <w:tc>
          <w:tcPr>
            <w:tcW w:w="2055" w:type="dxa"/>
            <w:vAlign w:val="center"/>
          </w:tcPr>
          <w:p w14:paraId="72B3FEC6">
            <w:pPr>
              <w:spacing w:line="264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Z7000724000434</w:t>
            </w:r>
          </w:p>
        </w:tc>
        <w:tc>
          <w:tcPr>
            <w:tcW w:w="2256" w:type="dxa"/>
            <w:vAlign w:val="center"/>
          </w:tcPr>
          <w:p w14:paraId="539FF2E4">
            <w:pPr>
              <w:spacing w:line="264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无限制</w:t>
            </w:r>
          </w:p>
        </w:tc>
        <w:tc>
          <w:tcPr>
            <w:tcW w:w="2256" w:type="dxa"/>
            <w:vAlign w:val="center"/>
          </w:tcPr>
          <w:p w14:paraId="2EC974AC">
            <w:pPr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不超过50亿份</w:t>
            </w:r>
          </w:p>
        </w:tc>
      </w:tr>
    </w:tbl>
    <w:p w14:paraId="1AA32749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交易时间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 w14:paraId="35B170C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2590482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2A889A38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7068A1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11FD22B2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9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4F0EE2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B037B"/>
    <w:rsid w:val="00A27E25"/>
    <w:rsid w:val="00A412B1"/>
    <w:rsid w:val="00A60679"/>
    <w:rsid w:val="00AA3B53"/>
    <w:rsid w:val="00B8546A"/>
    <w:rsid w:val="00B9464E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3D21"/>
    <w:rsid w:val="00FB504D"/>
    <w:rsid w:val="0987307F"/>
    <w:rsid w:val="098F08D1"/>
    <w:rsid w:val="0D2B4F84"/>
    <w:rsid w:val="11AA0B06"/>
    <w:rsid w:val="126D0AE3"/>
    <w:rsid w:val="12ED789B"/>
    <w:rsid w:val="1C9902E1"/>
    <w:rsid w:val="21200924"/>
    <w:rsid w:val="224C3FA6"/>
    <w:rsid w:val="24072EE7"/>
    <w:rsid w:val="285E03C4"/>
    <w:rsid w:val="34FD0C24"/>
    <w:rsid w:val="350C32A2"/>
    <w:rsid w:val="390B3E87"/>
    <w:rsid w:val="391110CE"/>
    <w:rsid w:val="39C9477F"/>
    <w:rsid w:val="3B480E17"/>
    <w:rsid w:val="40925686"/>
    <w:rsid w:val="45096549"/>
    <w:rsid w:val="482B0E1F"/>
    <w:rsid w:val="4E2E4F48"/>
    <w:rsid w:val="4E581AE6"/>
    <w:rsid w:val="4F595D1F"/>
    <w:rsid w:val="529A4F3B"/>
    <w:rsid w:val="56007508"/>
    <w:rsid w:val="58B07598"/>
    <w:rsid w:val="5A5C063B"/>
    <w:rsid w:val="5F8E026C"/>
    <w:rsid w:val="60C67A98"/>
    <w:rsid w:val="66414EE1"/>
    <w:rsid w:val="67AA4915"/>
    <w:rsid w:val="6C0509C8"/>
    <w:rsid w:val="6E1F0B8D"/>
    <w:rsid w:val="71716B9F"/>
    <w:rsid w:val="7181643D"/>
    <w:rsid w:val="73326FA2"/>
    <w:rsid w:val="73DE3701"/>
    <w:rsid w:val="77B6385C"/>
    <w:rsid w:val="78037750"/>
    <w:rsid w:val="78666EC3"/>
    <w:rsid w:val="7D29533D"/>
    <w:rsid w:val="7E04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21"/>
      <w:szCs w:val="21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annotation subject"/>
    <w:basedOn w:val="6"/>
    <w:next w:val="6"/>
    <w:link w:val="15"/>
    <w:semiHidden/>
    <w:unhideWhenUsed/>
    <w:qFormat/>
    <w:uiPriority w:val="99"/>
    <w:rPr>
      <w:b/>
      <w:bCs/>
    </w:rPr>
  </w:style>
  <w:style w:type="paragraph" w:styleId="9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table" w:styleId="10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2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2"/>
    <w:link w:val="7"/>
    <w:qFormat/>
    <w:uiPriority w:val="99"/>
    <w:rPr>
      <w:sz w:val="18"/>
      <w:szCs w:val="18"/>
    </w:rPr>
  </w:style>
  <w:style w:type="character" w:customStyle="1" w:styleId="13">
    <w:name w:val="批注框文本 字符"/>
    <w:basedOn w:val="2"/>
    <w:link w:val="9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2"/>
    <w:link w:val="6"/>
    <w:semiHidden/>
    <w:qFormat/>
    <w:uiPriority w:val="99"/>
  </w:style>
  <w:style w:type="character" w:customStyle="1" w:styleId="15">
    <w:name w:val="批注主题 字符"/>
    <w:basedOn w:val="14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365</Characters>
  <Lines>3</Lines>
  <Paragraphs>1</Paragraphs>
  <TotalTime>36</TotalTime>
  <ScaleCrop>false</ScaleCrop>
  <LinksUpToDate>false</LinksUpToDate>
  <CharactersWithSpaces>428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2026-02-09T09:01:47Z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3076-12.2.0.23155</vt:lpwstr>
  </property>
  <property fmtid="{D5CDD505-2E9C-101B-9397-08002B2CF9AE}" pid="3" name="ICV">
    <vt:lpwstr>53CEAE6BEF874ED1ABAC0F2CB2C97B3E_13</vt:lpwstr>
  </property>
</Properties>
</file>