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272C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关于建信理财部分产品管理费率优惠的公告</w:t>
      </w:r>
    </w:p>
    <w:bookmarkEnd w:id="0"/>
    <w:p w14:paraId="04D52AA8"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为更好地为客户提供投资理财服务，建信理财有限责任公司拟对建信理财部分产品进行管理费率优惠，优惠结束时间以后续公告为准，具体内容如下：</w:t>
      </w:r>
    </w:p>
    <w:tbl>
      <w:tblPr>
        <w:tblStyle w:val="3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844"/>
        <w:gridCol w:w="1977"/>
        <w:gridCol w:w="2166"/>
        <w:gridCol w:w="216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>
            <w:pPr>
              <w:pStyle w:val="2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>
            <w:pPr>
              <w:pStyle w:val="2"/>
              <w:snapToGrid w:val="0"/>
              <w:jc w:val="center"/>
              <w:rPr>
                <w:rStyle w:val="5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6F3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建信理财嘉鑫（稳利）固收类封闭式产品2026年第312期</w:t>
            </w:r>
          </w:p>
        </w:tc>
        <w:tc>
          <w:tcPr>
            <w:tcW w:w="1844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Z7000726000325</w:t>
            </w:r>
          </w:p>
        </w:tc>
        <w:tc>
          <w:tcPr>
            <w:tcW w:w="1977" w:type="dxa"/>
            <w:vAlign w:val="center"/>
          </w:tcPr>
          <w:p w14:paraId="22E60F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7B0A0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120C1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建信理财嘉鑫（稳利）固收类封闭式产品2026年第87期</w:t>
            </w:r>
          </w:p>
        </w:tc>
        <w:tc>
          <w:tcPr>
            <w:tcW w:w="1844" w:type="dxa"/>
            <w:vAlign w:val="center"/>
          </w:tcPr>
          <w:p w14:paraId="4C538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Z7000725001805</w:t>
            </w:r>
          </w:p>
        </w:tc>
        <w:tc>
          <w:tcPr>
            <w:tcW w:w="1977" w:type="dxa"/>
            <w:vAlign w:val="center"/>
          </w:tcPr>
          <w:p w14:paraId="4790678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0A62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FCB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4731E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C8D1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建信理财嘉鑫（稳利）固收类封闭式产品2026年第89期</w:t>
            </w:r>
          </w:p>
        </w:tc>
        <w:tc>
          <w:tcPr>
            <w:tcW w:w="1844" w:type="dxa"/>
            <w:vAlign w:val="center"/>
          </w:tcPr>
          <w:p w14:paraId="5DD89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Z7000725001729</w:t>
            </w:r>
          </w:p>
        </w:tc>
        <w:tc>
          <w:tcPr>
            <w:tcW w:w="1977" w:type="dxa"/>
            <w:vAlign w:val="center"/>
          </w:tcPr>
          <w:p w14:paraId="38FE43D7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3AB294F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4E8E8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0605E8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01D8F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建信理财嘉鑫（债券精选）固收类封闭式产品2026年第230期</w:t>
            </w:r>
          </w:p>
        </w:tc>
        <w:tc>
          <w:tcPr>
            <w:tcW w:w="1844" w:type="dxa"/>
            <w:vAlign w:val="center"/>
          </w:tcPr>
          <w:p w14:paraId="3A241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Z7000726000121</w:t>
            </w:r>
          </w:p>
        </w:tc>
        <w:tc>
          <w:tcPr>
            <w:tcW w:w="1977" w:type="dxa"/>
            <w:vAlign w:val="center"/>
          </w:tcPr>
          <w:p w14:paraId="57354FB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5EF1A4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553EF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7AAA762C">
      <w:pPr>
        <w:pStyle w:val="2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0E8C968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64479DB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91BD4"/>
    <w:rsid w:val="00865D12"/>
    <w:rsid w:val="008E170F"/>
    <w:rsid w:val="00A67EB8"/>
    <w:rsid w:val="00A84663"/>
    <w:rsid w:val="00AC58EF"/>
    <w:rsid w:val="00AF1E88"/>
    <w:rsid w:val="00AF743D"/>
    <w:rsid w:val="00B42799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6FE4"/>
    <w:rsid w:val="00FD0618"/>
    <w:rsid w:val="01630F53"/>
    <w:rsid w:val="02463876"/>
    <w:rsid w:val="04AA26ED"/>
    <w:rsid w:val="063B1146"/>
    <w:rsid w:val="085F739A"/>
    <w:rsid w:val="0EF33893"/>
    <w:rsid w:val="10EB4B54"/>
    <w:rsid w:val="185D0171"/>
    <w:rsid w:val="19707AB7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1DC6039"/>
    <w:rsid w:val="630E1F93"/>
    <w:rsid w:val="63534B58"/>
    <w:rsid w:val="65986251"/>
    <w:rsid w:val="68820FC4"/>
    <w:rsid w:val="695732E1"/>
    <w:rsid w:val="6B0F2632"/>
    <w:rsid w:val="6BA96FAE"/>
    <w:rsid w:val="6C776DDA"/>
    <w:rsid w:val="6F11203A"/>
    <w:rsid w:val="714E4D50"/>
    <w:rsid w:val="71640E42"/>
    <w:rsid w:val="724D0D96"/>
    <w:rsid w:val="72FF663B"/>
    <w:rsid w:val="730B6BCA"/>
    <w:rsid w:val="735A21CD"/>
    <w:rsid w:val="747B30DE"/>
    <w:rsid w:val="75DA05F2"/>
    <w:rsid w:val="7AAD2716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2026-02-28T02:44:15Z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7020252549F74C808CE34052BED2BC0A_13</vt:lpwstr>
  </property>
</Properties>
</file>