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建信理财睿鑫1个月定开理财产品（上旬）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JXRX0020200219001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建信理财睿鑫1个月定开理财产品（上旬）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JXRX0020200219001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2026年03月11日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1.162027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1.162027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1.162027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1.162027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2026年03月12日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