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 w:val="21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 w:val="21"/>
          <w:szCs w:val="21"/>
          <w:lang w:val="en-US" w:eastAsia="zh-CN"/>
        </w:rPr>
        <w:t>部分产品</w:t>
      </w:r>
      <w:bookmarkStart w:id="0" w:name="_GoBack"/>
      <w:bookmarkEnd w:id="0"/>
      <w:r>
        <w:rPr>
          <w:rFonts w:hint="eastAsia" w:ascii="宋体" w:hAnsi="宋体" w:eastAsia="宋体" w:cs="Arial"/>
          <w:b/>
          <w:color w:val="000000"/>
          <w:kern w:val="0"/>
          <w:sz w:val="21"/>
          <w:szCs w:val="21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 w:val="21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 w:val="21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 w:val="21"/>
          <w:szCs w:val="21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拟对建信理财部分产品进行销售费率和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911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8"/>
        <w:gridCol w:w="1845"/>
        <w:gridCol w:w="1830"/>
        <w:gridCol w:w="1920"/>
        <w:gridCol w:w="1350"/>
        <w:gridCol w:w="1250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5728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5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30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600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5728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250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28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建信理财嘉鑫（稳利）固收类最低持有7天产品第36期</w:t>
            </w:r>
          </w:p>
        </w:tc>
        <w:tc>
          <w:tcPr>
            <w:tcW w:w="1845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Z7000726000255</w:t>
            </w:r>
          </w:p>
        </w:tc>
        <w:tc>
          <w:tcPr>
            <w:tcW w:w="1830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2026年3月17日</w:t>
            </w:r>
          </w:p>
        </w:tc>
        <w:tc>
          <w:tcPr>
            <w:tcW w:w="1920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2026年6月17日</w:t>
            </w:r>
          </w:p>
        </w:tc>
        <w:tc>
          <w:tcPr>
            <w:tcW w:w="1350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0.2%</w:t>
            </w:r>
          </w:p>
        </w:tc>
        <w:tc>
          <w:tcPr>
            <w:tcW w:w="1250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0.1%</w:t>
            </w:r>
          </w:p>
        </w:tc>
      </w:tr>
      <w:tr w14:paraId="29E4CE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28" w:type="dxa"/>
            <w:shd w:val="clear" w:color="auto" w:fill="auto"/>
            <w:vAlign w:val="center"/>
          </w:tcPr>
          <w:p w14:paraId="0FCC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建信理财龙鑫（指数增强）固收类最低持有180天产品第1期</w:t>
            </w:r>
          </w:p>
        </w:tc>
        <w:tc>
          <w:tcPr>
            <w:tcW w:w="1845" w:type="dxa"/>
            <w:vAlign w:val="center"/>
          </w:tcPr>
          <w:p w14:paraId="194C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Z7000725001631</w:t>
            </w:r>
          </w:p>
        </w:tc>
        <w:tc>
          <w:tcPr>
            <w:tcW w:w="1830" w:type="dxa"/>
            <w:vAlign w:val="center"/>
          </w:tcPr>
          <w:p w14:paraId="3CF9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2026年3月17日</w:t>
            </w:r>
          </w:p>
        </w:tc>
        <w:tc>
          <w:tcPr>
            <w:tcW w:w="1920" w:type="dxa"/>
            <w:vAlign w:val="center"/>
          </w:tcPr>
          <w:p w14:paraId="174C2EE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2026年6月17日</w:t>
            </w:r>
          </w:p>
        </w:tc>
        <w:tc>
          <w:tcPr>
            <w:tcW w:w="1350" w:type="dxa"/>
            <w:vAlign w:val="center"/>
          </w:tcPr>
          <w:p w14:paraId="4869E86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0.2%</w:t>
            </w:r>
          </w:p>
        </w:tc>
        <w:tc>
          <w:tcPr>
            <w:tcW w:w="1250" w:type="dxa"/>
            <w:vAlign w:val="center"/>
          </w:tcPr>
          <w:p w14:paraId="0B65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0.1%</w:t>
            </w:r>
          </w:p>
        </w:tc>
      </w:tr>
    </w:tbl>
    <w:p w14:paraId="0F6C30F0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82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4"/>
        <w:gridCol w:w="1785"/>
        <w:gridCol w:w="1905"/>
        <w:gridCol w:w="1875"/>
        <w:gridCol w:w="1365"/>
        <w:gridCol w:w="1226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371" w:hRule="atLeast"/>
          <w:tblHeader/>
          <w:jc w:val="center"/>
        </w:trPr>
        <w:tc>
          <w:tcPr>
            <w:tcW w:w="5686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785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05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91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5686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226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6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建信理财嘉鑫（稳利）固收类最低持有7天产品第36期</w:t>
            </w:r>
          </w:p>
        </w:tc>
        <w:tc>
          <w:tcPr>
            <w:tcW w:w="1785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Z7000726000255</w:t>
            </w:r>
          </w:p>
        </w:tc>
        <w:tc>
          <w:tcPr>
            <w:tcW w:w="1905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2026年3月17日</w:t>
            </w:r>
          </w:p>
        </w:tc>
        <w:tc>
          <w:tcPr>
            <w:tcW w:w="1875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2026年6月17日</w:t>
            </w:r>
          </w:p>
        </w:tc>
        <w:tc>
          <w:tcPr>
            <w:tcW w:w="1365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0.2%</w:t>
            </w:r>
          </w:p>
        </w:tc>
        <w:tc>
          <w:tcPr>
            <w:tcW w:w="1226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0.1%</w:t>
            </w:r>
          </w:p>
        </w:tc>
      </w:tr>
      <w:tr w14:paraId="37F1D7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6" w:type="dxa"/>
            <w:shd w:val="clear" w:color="auto" w:fill="auto"/>
            <w:vAlign w:val="center"/>
          </w:tcPr>
          <w:p w14:paraId="5D10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建信理财龙鑫（指数增强）固收类最低持有180天产品第1期</w:t>
            </w:r>
          </w:p>
        </w:tc>
        <w:tc>
          <w:tcPr>
            <w:tcW w:w="1785" w:type="dxa"/>
            <w:vAlign w:val="center"/>
          </w:tcPr>
          <w:p w14:paraId="09B4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Z7000725001631</w:t>
            </w:r>
          </w:p>
        </w:tc>
        <w:tc>
          <w:tcPr>
            <w:tcW w:w="1905" w:type="dxa"/>
            <w:vAlign w:val="center"/>
          </w:tcPr>
          <w:p w14:paraId="7516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2026年3月17日</w:t>
            </w:r>
          </w:p>
        </w:tc>
        <w:tc>
          <w:tcPr>
            <w:tcW w:w="1875" w:type="dxa"/>
            <w:vAlign w:val="center"/>
          </w:tcPr>
          <w:p w14:paraId="3F44072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2026年6月17日</w:t>
            </w:r>
          </w:p>
        </w:tc>
        <w:tc>
          <w:tcPr>
            <w:tcW w:w="1365" w:type="dxa"/>
            <w:vAlign w:val="center"/>
          </w:tcPr>
          <w:p w14:paraId="1E7FF52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0.2%</w:t>
            </w:r>
          </w:p>
        </w:tc>
        <w:tc>
          <w:tcPr>
            <w:tcW w:w="1226" w:type="dxa"/>
            <w:vAlign w:val="center"/>
          </w:tcPr>
          <w:p w14:paraId="2AF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19D59283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彩虹粗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0F3A4192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12523B8"/>
    <w:rsid w:val="32021299"/>
    <w:rsid w:val="32C41357"/>
    <w:rsid w:val="32D75DF9"/>
    <w:rsid w:val="3330216E"/>
    <w:rsid w:val="3487265B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1200FE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3308E8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1BE6571"/>
    <w:rsid w:val="630E1F93"/>
    <w:rsid w:val="64733A58"/>
    <w:rsid w:val="649F2AD8"/>
    <w:rsid w:val="64FE3C72"/>
    <w:rsid w:val="652520C5"/>
    <w:rsid w:val="695732E1"/>
    <w:rsid w:val="69824AE2"/>
    <w:rsid w:val="6A2E55A9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355B3A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font31"/>
    <w:basedOn w:val="5"/>
    <w:uiPriority w:val="0"/>
    <w:rPr>
      <w:rFonts w:hint="eastAsia" w:ascii="彩虹粗仿宋" w:hAnsi="彩虹粗仿宋" w:eastAsia="彩虹粗仿宋" w:cs="彩虹粗仿宋"/>
      <w:color w:val="FF0000"/>
      <w:sz w:val="24"/>
      <w:szCs w:val="24"/>
      <w:u w:val="none"/>
    </w:rPr>
  </w:style>
  <w:style w:type="character" w:customStyle="1" w:styleId="8">
    <w:name w:val="font21"/>
    <w:basedOn w:val="5"/>
    <w:uiPriority w:val="0"/>
    <w:rPr>
      <w:rFonts w:hint="eastAsia" w:ascii="彩虹粗仿宋" w:hAnsi="彩虹粗仿宋" w:eastAsia="彩虹粗仿宋" w:cs="彩虹粗仿宋"/>
      <w:color w:val="000000"/>
      <w:sz w:val="24"/>
      <w:szCs w:val="24"/>
      <w:u w:val="none"/>
    </w:rPr>
  </w:style>
  <w:style w:type="character" w:customStyle="1" w:styleId="9">
    <w:name w:val="font41"/>
    <w:basedOn w:val="5"/>
    <w:uiPriority w:val="0"/>
    <w:rPr>
      <w:rFonts w:hint="eastAsia" w:ascii="彩虹粗仿宋" w:hAnsi="彩虹粗仿宋" w:eastAsia="彩虹粗仿宋" w:cs="彩虹粗仿宋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2026-03-10T02:47:37Z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