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E727E" w14:textId="77777777" w:rsidR="00052475" w:rsidRDefault="00217E43">
      <w:pPr>
        <w:widowControl/>
        <w:spacing w:before="100" w:beforeAutospacing="1" w:after="100" w:afterAutospacing="1" w:line="460" w:lineRule="atLeast"/>
        <w:ind w:firstLineChars="600" w:firstLine="1265"/>
        <w:jc w:val="center"/>
        <w:rPr>
          <w:rFonts w:ascii="宋体" w:eastAsia="宋体" w:hAnsi="宋体" w:cs="Arial"/>
          <w:b/>
          <w:kern w:val="0"/>
          <w:szCs w:val="21"/>
        </w:rPr>
      </w:pPr>
      <w:r>
        <w:rPr>
          <w:rFonts w:ascii="宋体" w:eastAsia="宋体" w:hAnsi="宋体" w:cs="Arial" w:hint="eastAsia"/>
          <w:b/>
          <w:kern w:val="0"/>
          <w:szCs w:val="21"/>
        </w:rPr>
        <w:t>关于调整建信理财部分理财产品投资范围及投资比例的公告</w:t>
      </w:r>
    </w:p>
    <w:p w14:paraId="0C9F47F4" w14:textId="77777777" w:rsidR="00052475" w:rsidRDefault="00217E43">
      <w:pPr>
        <w:widowControl/>
        <w:spacing w:before="100" w:beforeAutospacing="1" w:after="100" w:afterAutospacing="1" w:line="460" w:lineRule="atLeast"/>
        <w:rPr>
          <w:rFonts w:ascii="微软雅黑" w:eastAsia="微软雅黑" w:hAnsi="微软雅黑"/>
        </w:rPr>
      </w:pPr>
      <w:r>
        <w:rPr>
          <w:rFonts w:hint="eastAsia"/>
        </w:rPr>
        <w:t>尊敬的投资者：</w:t>
      </w:r>
    </w:p>
    <w:p w14:paraId="208ED789" w14:textId="77777777" w:rsidR="00052475" w:rsidRDefault="00217E43">
      <w:pPr>
        <w:pStyle w:val="ad"/>
        <w:snapToGrid w:val="0"/>
        <w:spacing w:line="460" w:lineRule="atLeast"/>
        <w:ind w:firstLine="420"/>
        <w:rPr>
          <w:rFonts w:cs="Arial"/>
          <w:sz w:val="21"/>
          <w:szCs w:val="21"/>
        </w:rPr>
      </w:pPr>
      <w:r>
        <w:rPr>
          <w:rFonts w:cs="Arial" w:hint="eastAsia"/>
          <w:sz w:val="21"/>
          <w:szCs w:val="21"/>
        </w:rPr>
        <w:t>为更好地为投资者提供投资理财服务，建信理财有限责任公司拟调整部分理财产品投资范围，并相应修改产品风险揭示书和产品说明书的相关内容，具体调整内容如下：</w:t>
      </w:r>
    </w:p>
    <w:p w14:paraId="30DF4001" w14:textId="77777777" w:rsidR="00052475" w:rsidRDefault="00217E43">
      <w:pPr>
        <w:pStyle w:val="ad"/>
        <w:snapToGrid w:val="0"/>
        <w:spacing w:line="460" w:lineRule="atLeast"/>
        <w:ind w:firstLine="420"/>
        <w:rPr>
          <w:rFonts w:cs="Arial"/>
          <w:sz w:val="21"/>
          <w:szCs w:val="21"/>
        </w:rPr>
      </w:pPr>
      <w:r>
        <w:rPr>
          <w:rFonts w:cs="Arial" w:hint="eastAsia"/>
          <w:sz w:val="21"/>
          <w:szCs w:val="21"/>
        </w:rPr>
        <w:t>一、调整投资范围</w:t>
      </w:r>
    </w:p>
    <w:tbl>
      <w:tblPr>
        <w:tblW w:w="4672" w:type="pct"/>
        <w:jc w:val="center"/>
        <w:tblBorders>
          <w:top w:val="thinThickSmallGap" w:sz="24" w:space="0" w:color="auto"/>
          <w:bottom w:val="thinThick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5"/>
        <w:gridCol w:w="1862"/>
        <w:gridCol w:w="4513"/>
        <w:gridCol w:w="4562"/>
      </w:tblGrid>
      <w:tr w:rsidR="00052475" w14:paraId="5F0D0894" w14:textId="77777777">
        <w:trPr>
          <w:trHeight w:val="313"/>
          <w:tblHeader/>
          <w:jc w:val="center"/>
        </w:trPr>
        <w:tc>
          <w:tcPr>
            <w:tcW w:w="807" w:type="pct"/>
            <w:vMerge w:val="restart"/>
            <w:vAlign w:val="center"/>
          </w:tcPr>
          <w:p w14:paraId="5DF5BD6B" w14:textId="77777777" w:rsidR="00052475" w:rsidRDefault="00217E43">
            <w:pPr>
              <w:pStyle w:val="ad"/>
              <w:snapToGrid w:val="0"/>
              <w:jc w:val="center"/>
              <w:rPr>
                <w:rFonts w:ascii="Arial" w:hAnsi="Arial" w:cs="Arial"/>
                <w:sz w:val="18"/>
                <w:szCs w:val="18"/>
              </w:rPr>
            </w:pPr>
            <w:r>
              <w:rPr>
                <w:rStyle w:val="ae"/>
                <w:rFonts w:cs="Arial" w:hint="eastAsia"/>
                <w:sz w:val="18"/>
                <w:szCs w:val="18"/>
              </w:rPr>
              <w:t>产品名称</w:t>
            </w:r>
          </w:p>
        </w:tc>
        <w:tc>
          <w:tcPr>
            <w:tcW w:w="714" w:type="pct"/>
            <w:vMerge w:val="restart"/>
            <w:vAlign w:val="center"/>
          </w:tcPr>
          <w:p w14:paraId="0FAAC921" w14:textId="77777777" w:rsidR="00052475" w:rsidRDefault="00217E43">
            <w:pPr>
              <w:pStyle w:val="ad"/>
              <w:snapToGrid w:val="0"/>
              <w:spacing w:before="0" w:beforeAutospacing="0" w:after="0" w:afterAutospacing="0"/>
              <w:jc w:val="center"/>
              <w:rPr>
                <w:rFonts w:ascii="Arial" w:hAnsi="Arial" w:cs="Arial"/>
                <w:b/>
                <w:sz w:val="18"/>
                <w:szCs w:val="18"/>
              </w:rPr>
            </w:pPr>
            <w:r>
              <w:rPr>
                <w:rFonts w:ascii="Arial" w:hAnsi="Arial" w:cs="Arial" w:hint="eastAsia"/>
                <w:b/>
                <w:sz w:val="18"/>
                <w:szCs w:val="18"/>
              </w:rPr>
              <w:t>全国银行业理财信息</w:t>
            </w:r>
          </w:p>
          <w:p w14:paraId="474E935B" w14:textId="77777777" w:rsidR="00052475" w:rsidRDefault="00217E43">
            <w:pPr>
              <w:pStyle w:val="ad"/>
              <w:snapToGrid w:val="0"/>
              <w:spacing w:before="0" w:beforeAutospacing="0" w:after="0" w:afterAutospacing="0"/>
              <w:jc w:val="center"/>
              <w:rPr>
                <w:rFonts w:ascii="Arial" w:hAnsi="Arial" w:cs="Arial"/>
                <w:sz w:val="18"/>
                <w:szCs w:val="18"/>
              </w:rPr>
            </w:pPr>
            <w:r>
              <w:rPr>
                <w:rFonts w:ascii="Arial" w:hAnsi="Arial" w:cs="Arial" w:hint="eastAsia"/>
                <w:b/>
                <w:sz w:val="18"/>
                <w:szCs w:val="18"/>
              </w:rPr>
              <w:t>登记系统编码</w:t>
            </w:r>
          </w:p>
        </w:tc>
        <w:tc>
          <w:tcPr>
            <w:tcW w:w="3479" w:type="pct"/>
            <w:gridSpan w:val="2"/>
            <w:tcMar>
              <w:top w:w="0" w:type="dxa"/>
              <w:left w:w="108" w:type="dxa"/>
              <w:bottom w:w="0" w:type="dxa"/>
              <w:right w:w="108" w:type="dxa"/>
            </w:tcMar>
            <w:vAlign w:val="center"/>
          </w:tcPr>
          <w:p w14:paraId="360A0BDD" w14:textId="77777777" w:rsidR="00052475" w:rsidRDefault="00217E43">
            <w:pPr>
              <w:pStyle w:val="ad"/>
              <w:snapToGrid w:val="0"/>
              <w:jc w:val="center"/>
              <w:rPr>
                <w:rFonts w:ascii="Arial" w:hAnsi="Arial" w:cs="Arial"/>
                <w:b/>
                <w:sz w:val="18"/>
                <w:szCs w:val="18"/>
              </w:rPr>
            </w:pPr>
            <w:r>
              <w:rPr>
                <w:rFonts w:ascii="Arial" w:hAnsi="Arial" w:cs="Arial" w:hint="eastAsia"/>
                <w:b/>
                <w:sz w:val="18"/>
                <w:szCs w:val="18"/>
              </w:rPr>
              <w:t>投资范围</w:t>
            </w:r>
          </w:p>
        </w:tc>
      </w:tr>
      <w:tr w:rsidR="00052475" w14:paraId="1231DFF7" w14:textId="77777777">
        <w:trPr>
          <w:trHeight w:val="313"/>
          <w:tblHeader/>
          <w:jc w:val="center"/>
        </w:trPr>
        <w:tc>
          <w:tcPr>
            <w:tcW w:w="807" w:type="pct"/>
            <w:vMerge/>
            <w:tcBorders>
              <w:bottom w:val="single" w:sz="4" w:space="0" w:color="auto"/>
            </w:tcBorders>
            <w:vAlign w:val="center"/>
          </w:tcPr>
          <w:p w14:paraId="598AE4AE" w14:textId="77777777" w:rsidR="00052475" w:rsidRDefault="00052475">
            <w:pPr>
              <w:rPr>
                <w:rFonts w:ascii="Arial" w:eastAsia="宋体" w:hAnsi="Arial" w:cs="Arial"/>
                <w:sz w:val="18"/>
                <w:szCs w:val="18"/>
              </w:rPr>
            </w:pPr>
          </w:p>
        </w:tc>
        <w:tc>
          <w:tcPr>
            <w:tcW w:w="714" w:type="pct"/>
            <w:vMerge/>
            <w:tcBorders>
              <w:bottom w:val="single" w:sz="4" w:space="0" w:color="auto"/>
            </w:tcBorders>
            <w:vAlign w:val="center"/>
          </w:tcPr>
          <w:p w14:paraId="1DCCD7BD" w14:textId="77777777" w:rsidR="00052475" w:rsidRDefault="00052475">
            <w:pPr>
              <w:jc w:val="center"/>
              <w:rPr>
                <w:rFonts w:ascii="宋体" w:eastAsia="宋体" w:hAnsi="宋体" w:cs="Arial"/>
                <w:kern w:val="0"/>
                <w:sz w:val="18"/>
                <w:szCs w:val="18"/>
              </w:rPr>
            </w:pPr>
          </w:p>
        </w:tc>
        <w:tc>
          <w:tcPr>
            <w:tcW w:w="1730" w:type="pct"/>
            <w:tcBorders>
              <w:bottom w:val="single" w:sz="4" w:space="0" w:color="auto"/>
            </w:tcBorders>
            <w:tcMar>
              <w:top w:w="0" w:type="dxa"/>
              <w:left w:w="108" w:type="dxa"/>
              <w:bottom w:w="0" w:type="dxa"/>
              <w:right w:w="108" w:type="dxa"/>
            </w:tcMar>
            <w:vAlign w:val="center"/>
          </w:tcPr>
          <w:p w14:paraId="01AA4036" w14:textId="77777777" w:rsidR="00052475" w:rsidRDefault="00217E43">
            <w:pPr>
              <w:pStyle w:val="ad"/>
              <w:snapToGrid w:val="0"/>
              <w:jc w:val="center"/>
              <w:rPr>
                <w:rFonts w:ascii="Arial" w:hAnsi="Arial" w:cs="Arial"/>
                <w:sz w:val="18"/>
                <w:szCs w:val="18"/>
              </w:rPr>
            </w:pPr>
            <w:r>
              <w:rPr>
                <w:rStyle w:val="ae"/>
                <w:rFonts w:cs="Arial" w:hint="eastAsia"/>
                <w:sz w:val="18"/>
                <w:szCs w:val="18"/>
              </w:rPr>
              <w:t>调整前</w:t>
            </w:r>
          </w:p>
        </w:tc>
        <w:tc>
          <w:tcPr>
            <w:tcW w:w="1749" w:type="pct"/>
            <w:tcBorders>
              <w:bottom w:val="single" w:sz="4" w:space="0" w:color="auto"/>
            </w:tcBorders>
            <w:tcMar>
              <w:top w:w="0" w:type="dxa"/>
              <w:left w:w="108" w:type="dxa"/>
              <w:bottom w:w="0" w:type="dxa"/>
              <w:right w:w="108" w:type="dxa"/>
            </w:tcMar>
            <w:vAlign w:val="center"/>
          </w:tcPr>
          <w:p w14:paraId="2FE29989" w14:textId="77777777" w:rsidR="00052475" w:rsidRDefault="00217E43">
            <w:pPr>
              <w:pStyle w:val="ad"/>
              <w:snapToGrid w:val="0"/>
              <w:jc w:val="center"/>
              <w:rPr>
                <w:rFonts w:ascii="Arial" w:hAnsi="Arial" w:cs="Arial"/>
                <w:sz w:val="18"/>
                <w:szCs w:val="18"/>
              </w:rPr>
            </w:pPr>
            <w:r>
              <w:rPr>
                <w:rStyle w:val="ae"/>
                <w:rFonts w:cs="Arial" w:hint="eastAsia"/>
                <w:sz w:val="18"/>
                <w:szCs w:val="18"/>
              </w:rPr>
              <w:t>调整后</w:t>
            </w:r>
          </w:p>
        </w:tc>
      </w:tr>
      <w:tr w:rsidR="00052475" w14:paraId="1A20324E" w14:textId="77777777">
        <w:trPr>
          <w:trHeight w:val="904"/>
          <w:jc w:val="center"/>
        </w:trPr>
        <w:tc>
          <w:tcPr>
            <w:tcW w:w="2124" w:type="dxa"/>
            <w:tcBorders>
              <w:top w:val="single" w:sz="4" w:space="0" w:color="auto"/>
              <w:bottom w:val="single" w:sz="4" w:space="0" w:color="auto"/>
            </w:tcBorders>
            <w:vAlign w:val="center"/>
          </w:tcPr>
          <w:p w14:paraId="63532728" w14:textId="77777777" w:rsidR="00052475" w:rsidRDefault="00217E43">
            <w:pPr>
              <w:jc w:val="center"/>
              <w:rPr>
                <w:rFonts w:ascii="宋体" w:eastAsia="宋体" w:hAnsi="宋体"/>
                <w:sz w:val="18"/>
                <w:szCs w:val="18"/>
              </w:rPr>
            </w:pPr>
            <w:r>
              <w:rPr>
                <w:rFonts w:ascii="宋体" w:hAnsi="宋体" w:cs="Helvetica" w:hint="eastAsia"/>
                <w:kern w:val="0"/>
                <w:sz w:val="18"/>
                <w:szCs w:val="18"/>
              </w:rPr>
              <w:t>建信理财龙鑫固收类最低持有1年产品第4期</w:t>
            </w:r>
          </w:p>
        </w:tc>
        <w:tc>
          <w:tcPr>
            <w:tcW w:w="714" w:type="pct"/>
            <w:tcBorders>
              <w:top w:val="single" w:sz="4" w:space="0" w:color="auto"/>
              <w:bottom w:val="single" w:sz="4" w:space="0" w:color="auto"/>
            </w:tcBorders>
            <w:vAlign w:val="center"/>
          </w:tcPr>
          <w:p w14:paraId="3765AAE0" w14:textId="77777777" w:rsidR="00052475" w:rsidRDefault="00217E43">
            <w:pPr>
              <w:spacing w:line="256" w:lineRule="auto"/>
              <w:jc w:val="center"/>
              <w:rPr>
                <w:rFonts w:ascii="宋体" w:eastAsia="宋体" w:hAnsi="宋体"/>
                <w:sz w:val="18"/>
                <w:szCs w:val="18"/>
              </w:rPr>
            </w:pPr>
            <w:r w:rsidRPr="00B87D6A">
              <w:rPr>
                <w:rFonts w:ascii="宋体" w:hAnsi="宋体"/>
                <w:sz w:val="18"/>
                <w:szCs w:val="18"/>
              </w:rPr>
              <w:t>Z700072500</w:t>
            </w:r>
            <w:bookmarkStart w:id="0" w:name="_GoBack"/>
            <w:bookmarkEnd w:id="0"/>
            <w:r w:rsidRPr="00B87D6A">
              <w:rPr>
                <w:rFonts w:ascii="宋体" w:hAnsi="宋体"/>
                <w:sz w:val="18"/>
                <w:szCs w:val="18"/>
              </w:rPr>
              <w:t>0118</w:t>
            </w:r>
          </w:p>
        </w:tc>
        <w:tc>
          <w:tcPr>
            <w:tcW w:w="1730" w:type="pct"/>
            <w:tcBorders>
              <w:top w:val="single" w:sz="4" w:space="0" w:color="auto"/>
              <w:bottom w:val="single" w:sz="4" w:space="0" w:color="auto"/>
            </w:tcBorders>
            <w:tcMar>
              <w:top w:w="0" w:type="dxa"/>
              <w:left w:w="108" w:type="dxa"/>
              <w:bottom w:w="0" w:type="dxa"/>
              <w:right w:w="108" w:type="dxa"/>
            </w:tcMar>
            <w:vAlign w:val="center"/>
          </w:tcPr>
          <w:p w14:paraId="2181C186" w14:textId="77777777" w:rsidR="00052475" w:rsidRDefault="00217E43">
            <w:pPr>
              <w:spacing w:afterLines="30" w:after="93" w:line="264" w:lineRule="auto"/>
              <w:ind w:firstLineChars="200" w:firstLine="400"/>
              <w:rPr>
                <w:rFonts w:ascii="宋体" w:hAnsi="宋体" w:cs="彩虹粗仿宋"/>
                <w:color w:val="000000" w:themeColor="text1"/>
                <w:sz w:val="20"/>
                <w:szCs w:val="20"/>
              </w:rPr>
            </w:pPr>
            <w:r>
              <w:rPr>
                <w:rFonts w:ascii="宋体" w:hAnsi="宋体" w:cs="彩虹粗仿宋" w:hint="eastAsia"/>
                <w:color w:val="000000" w:themeColor="text1"/>
                <w:sz w:val="20"/>
                <w:szCs w:val="20"/>
              </w:rPr>
              <w:t>固定收益类资产：包括现金、银行存款、同业存单、大额可转让存单、货币市场基金、债券回购、国债、金融债、中央银行票据、地方政府债券、政府支持债券、公司债券、企业债券、非公开定向债务融资工具、可转换债券、可交换债、短期融资券、中期票据、超短期融资券、二级资本债、永续债、资产证券化产品、债券基金及其他符合监管要求的固定收益类资产。</w:t>
            </w:r>
          </w:p>
          <w:p w14:paraId="11E0D701" w14:textId="77777777" w:rsidR="00052475" w:rsidRDefault="00217E43">
            <w:pPr>
              <w:spacing w:afterLines="30" w:after="93" w:line="264" w:lineRule="auto"/>
              <w:ind w:firstLineChars="200" w:firstLine="400"/>
              <w:rPr>
                <w:rFonts w:ascii="宋体" w:hAnsi="宋体" w:cs="彩虹粗仿宋"/>
                <w:color w:val="000000" w:themeColor="text1"/>
                <w:sz w:val="20"/>
                <w:szCs w:val="20"/>
              </w:rPr>
            </w:pPr>
            <w:r>
              <w:rPr>
                <w:rFonts w:ascii="宋体" w:hAnsi="宋体" w:cs="彩虹粗仿宋" w:hint="eastAsia"/>
                <w:color w:val="000000" w:themeColor="text1"/>
                <w:sz w:val="20"/>
                <w:szCs w:val="20"/>
              </w:rPr>
              <w:t>权益类资产：包括股票、混合基金、股票基金及其他符合监管要求的权益类资产。</w:t>
            </w:r>
          </w:p>
          <w:p w14:paraId="5DFD8CA0" w14:textId="77777777" w:rsidR="00052475" w:rsidRDefault="00217E43">
            <w:pPr>
              <w:ind w:firstLineChars="200" w:firstLine="400"/>
              <w:rPr>
                <w:rFonts w:ascii="宋体" w:eastAsia="宋体" w:hAnsi="宋体"/>
                <w:sz w:val="18"/>
                <w:szCs w:val="18"/>
              </w:rPr>
            </w:pPr>
            <w:r>
              <w:rPr>
                <w:rFonts w:ascii="宋体" w:hAnsi="宋体" w:cs="彩虹粗仿宋" w:hint="eastAsia"/>
                <w:color w:val="000000" w:themeColor="text1"/>
                <w:sz w:val="20"/>
                <w:szCs w:val="20"/>
              </w:rPr>
              <w:t>衍生品类资产：国债期货、股指期货、商品期</w:t>
            </w:r>
            <w:r>
              <w:rPr>
                <w:rFonts w:ascii="宋体" w:hAnsi="宋体" w:cs="彩虹粗仿宋" w:hint="eastAsia"/>
                <w:color w:val="000000" w:themeColor="text1"/>
                <w:sz w:val="20"/>
                <w:szCs w:val="20"/>
              </w:rPr>
              <w:lastRenderedPageBreak/>
              <w:t>货、买入期权、收益互换、利率互换、信用风险缓释工具、信用保护工具及其他符合监管要求的衍生品类资产。</w:t>
            </w:r>
          </w:p>
        </w:tc>
        <w:tc>
          <w:tcPr>
            <w:tcW w:w="1749" w:type="pct"/>
            <w:tcBorders>
              <w:top w:val="single" w:sz="4" w:space="0" w:color="auto"/>
              <w:bottom w:val="single" w:sz="4" w:space="0" w:color="auto"/>
            </w:tcBorders>
            <w:tcMar>
              <w:top w:w="0" w:type="dxa"/>
              <w:left w:w="108" w:type="dxa"/>
              <w:bottom w:w="0" w:type="dxa"/>
              <w:right w:w="108" w:type="dxa"/>
            </w:tcMar>
            <w:vAlign w:val="center"/>
          </w:tcPr>
          <w:p w14:paraId="2D2CC4E5" w14:textId="77777777" w:rsidR="00052475" w:rsidRDefault="00217E43">
            <w:pPr>
              <w:spacing w:afterLines="30" w:after="93" w:line="264" w:lineRule="auto"/>
              <w:ind w:firstLineChars="200" w:firstLine="400"/>
              <w:rPr>
                <w:rFonts w:ascii="宋体" w:hAnsi="宋体" w:cs="彩虹粗仿宋"/>
                <w:color w:val="000000" w:themeColor="text1"/>
                <w:sz w:val="20"/>
                <w:szCs w:val="20"/>
              </w:rPr>
            </w:pPr>
            <w:r>
              <w:rPr>
                <w:rFonts w:ascii="宋体" w:hAnsi="宋体" w:cs="彩虹粗仿宋" w:hint="eastAsia"/>
                <w:color w:val="000000" w:themeColor="text1"/>
                <w:sz w:val="20"/>
                <w:szCs w:val="20"/>
              </w:rPr>
              <w:lastRenderedPageBreak/>
              <w:t>固定收益类资产：境内固定收益类资产包括现金、银行存款、同业存单、大额可转让存单、货币市场基金、债券回购、国债、金融债、中央银行票据、地方政府债券、政府支持债券、公司债券、企业债券、非公开定向债务融资工具、可转换债券、可交换债、短期融资券、中期票据、超短期融资券、二级资本债、永续债、资产证券化产品、债券基金及其他符合监管要求的固定收益类资产。境外固定收益类资产包括银行存款、存单、债券逆回购等货币市场工具，政府类债券、信用债券、公募货币型基金、公募债券型基金（含香港互认基金）、与固</w:t>
            </w:r>
            <w:r>
              <w:rPr>
                <w:rFonts w:ascii="宋体" w:hAnsi="宋体" w:cs="彩虹粗仿宋" w:hint="eastAsia"/>
                <w:color w:val="000000" w:themeColor="text1"/>
                <w:sz w:val="20"/>
                <w:szCs w:val="20"/>
              </w:rPr>
              <w:lastRenderedPageBreak/>
              <w:t>定收益类资产挂钩的结构性产品以及其他符合监管要求的固定收益类资产。</w:t>
            </w:r>
          </w:p>
          <w:p w14:paraId="3D9069CC" w14:textId="77777777" w:rsidR="00052475" w:rsidRDefault="00217E43">
            <w:pPr>
              <w:spacing w:afterLines="30" w:after="93" w:line="264" w:lineRule="auto"/>
              <w:ind w:firstLineChars="200" w:firstLine="400"/>
              <w:rPr>
                <w:rFonts w:ascii="宋体" w:hAnsi="宋体" w:cs="彩虹粗仿宋"/>
                <w:color w:val="000000" w:themeColor="text1"/>
                <w:sz w:val="20"/>
                <w:szCs w:val="20"/>
              </w:rPr>
            </w:pPr>
            <w:r>
              <w:rPr>
                <w:rFonts w:ascii="宋体" w:hAnsi="宋体" w:cs="彩虹粗仿宋" w:hint="eastAsia"/>
                <w:color w:val="000000" w:themeColor="text1"/>
                <w:sz w:val="20"/>
                <w:szCs w:val="20"/>
              </w:rPr>
              <w:t>权益类资产：包括股票、混合基金、股票基金及其他符合监管要求的权益类资产。</w:t>
            </w:r>
          </w:p>
          <w:p w14:paraId="5303F361" w14:textId="77777777" w:rsidR="00052475" w:rsidRDefault="00217E43">
            <w:pPr>
              <w:ind w:firstLineChars="200" w:firstLine="400"/>
              <w:rPr>
                <w:rFonts w:ascii="宋体" w:eastAsia="宋体" w:hAnsi="宋体"/>
                <w:sz w:val="18"/>
                <w:szCs w:val="18"/>
              </w:rPr>
            </w:pPr>
            <w:r>
              <w:rPr>
                <w:rFonts w:ascii="宋体" w:hAnsi="宋体" w:cs="彩虹粗仿宋" w:hint="eastAsia"/>
                <w:color w:val="000000" w:themeColor="text1"/>
                <w:sz w:val="20"/>
                <w:szCs w:val="20"/>
              </w:rPr>
              <w:t>衍生品类资产：国债期货、股指期货、商品期货、买入期权、收益互换、利率互换、信用风险缓释工具、信用保护工具及其他符合监管要求的衍生品类资产。</w:t>
            </w:r>
          </w:p>
        </w:tc>
      </w:tr>
      <w:tr w:rsidR="00052475" w14:paraId="5A1ECB77" w14:textId="77777777">
        <w:trPr>
          <w:trHeight w:val="904"/>
          <w:jc w:val="center"/>
        </w:trPr>
        <w:tc>
          <w:tcPr>
            <w:tcW w:w="2124" w:type="dxa"/>
            <w:tcBorders>
              <w:top w:val="single" w:sz="4" w:space="0" w:color="auto"/>
              <w:bottom w:val="single" w:sz="4" w:space="0" w:color="auto"/>
            </w:tcBorders>
            <w:vAlign w:val="center"/>
          </w:tcPr>
          <w:p w14:paraId="3D921ECB" w14:textId="77777777" w:rsidR="00052475" w:rsidRDefault="00217E43">
            <w:pPr>
              <w:jc w:val="center"/>
              <w:rPr>
                <w:rFonts w:ascii="宋体" w:eastAsia="宋体" w:hAnsi="宋体"/>
                <w:sz w:val="18"/>
                <w:szCs w:val="18"/>
              </w:rPr>
            </w:pPr>
            <w:r>
              <w:rPr>
                <w:rFonts w:ascii="宋体" w:hAnsi="宋体" w:cs="Helvetica" w:hint="eastAsia"/>
                <w:kern w:val="0"/>
                <w:sz w:val="18"/>
                <w:szCs w:val="18"/>
              </w:rPr>
              <w:lastRenderedPageBreak/>
              <w:t>建信理财“龙鑫”固收类最低持有120天开放式理财产品</w:t>
            </w:r>
          </w:p>
        </w:tc>
        <w:tc>
          <w:tcPr>
            <w:tcW w:w="714" w:type="pct"/>
            <w:tcBorders>
              <w:top w:val="single" w:sz="4" w:space="0" w:color="auto"/>
              <w:bottom w:val="single" w:sz="4" w:space="0" w:color="auto"/>
            </w:tcBorders>
            <w:vAlign w:val="center"/>
          </w:tcPr>
          <w:p w14:paraId="20477956" w14:textId="77777777" w:rsidR="00052475" w:rsidRDefault="00217E43">
            <w:pPr>
              <w:spacing w:line="256" w:lineRule="auto"/>
              <w:jc w:val="center"/>
              <w:rPr>
                <w:rFonts w:ascii="宋体" w:eastAsia="宋体" w:hAnsi="宋体"/>
                <w:sz w:val="18"/>
                <w:szCs w:val="18"/>
              </w:rPr>
            </w:pPr>
            <w:r>
              <w:rPr>
                <w:rFonts w:ascii="宋体" w:hAnsi="宋体" w:hint="eastAsia"/>
                <w:sz w:val="18"/>
                <w:szCs w:val="18"/>
              </w:rPr>
              <w:t>Z</w:t>
            </w:r>
            <w:r>
              <w:rPr>
                <w:rFonts w:ascii="宋体" w:hAnsi="宋体"/>
                <w:sz w:val="18"/>
                <w:szCs w:val="18"/>
              </w:rPr>
              <w:t>7000720000782</w:t>
            </w:r>
          </w:p>
        </w:tc>
        <w:tc>
          <w:tcPr>
            <w:tcW w:w="1730" w:type="pct"/>
            <w:tcBorders>
              <w:top w:val="single" w:sz="4" w:space="0" w:color="auto"/>
              <w:bottom w:val="single" w:sz="4" w:space="0" w:color="auto"/>
            </w:tcBorders>
            <w:tcMar>
              <w:top w:w="0" w:type="dxa"/>
              <w:left w:w="108" w:type="dxa"/>
              <w:bottom w:w="0" w:type="dxa"/>
              <w:right w:w="108" w:type="dxa"/>
            </w:tcMar>
            <w:vAlign w:val="center"/>
          </w:tcPr>
          <w:p w14:paraId="78A905D0"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1.固定收益类资产：包括在银行间市场和交易所发行及交易的国债、金融债、中央银行票据、公司债券、企业债券、非公开定向债务融资工具、可转换债券、可交换债、短期融资券、中期票据、超短期融资券、资产证券化产品（资产支持证券ABS、资产支持票据ABN）、债券基金及其他符合监管要求的固定收益类资产。</w:t>
            </w:r>
          </w:p>
          <w:p w14:paraId="0750FB1F"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2.现金类资产：包括现金、银行存款、同业存单、大额可转让存单、货币市场基金、债券回购及其他符合监管要求的现金类资产。</w:t>
            </w:r>
          </w:p>
          <w:p w14:paraId="3D9EB845"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3权益类资产：包括股票、股票基金、混合型基金及其他符合监管要求的权益类资产。</w:t>
            </w:r>
          </w:p>
          <w:p w14:paraId="5E5199F7" w14:textId="77777777" w:rsidR="00052475" w:rsidRDefault="00217E43">
            <w:pPr>
              <w:ind w:firstLineChars="200" w:firstLine="360"/>
              <w:rPr>
                <w:rFonts w:ascii="宋体" w:eastAsia="宋体" w:hAnsi="宋体"/>
                <w:sz w:val="18"/>
                <w:szCs w:val="18"/>
              </w:rPr>
            </w:pPr>
            <w:r>
              <w:rPr>
                <w:rFonts w:ascii="宋体" w:hAnsi="宋体"/>
                <w:sz w:val="18"/>
                <w:szCs w:val="18"/>
              </w:rPr>
              <w:t>4</w:t>
            </w:r>
            <w:r>
              <w:rPr>
                <w:rFonts w:ascii="宋体" w:hAnsi="宋体" w:hint="eastAsia"/>
                <w:sz w:val="18"/>
                <w:szCs w:val="18"/>
              </w:rPr>
              <w:t>.其他符合监管要求的资产。</w:t>
            </w:r>
          </w:p>
        </w:tc>
        <w:tc>
          <w:tcPr>
            <w:tcW w:w="1749" w:type="pct"/>
            <w:tcBorders>
              <w:top w:val="single" w:sz="4" w:space="0" w:color="auto"/>
              <w:bottom w:val="single" w:sz="4" w:space="0" w:color="auto"/>
            </w:tcBorders>
            <w:tcMar>
              <w:top w:w="0" w:type="dxa"/>
              <w:left w:w="108" w:type="dxa"/>
              <w:bottom w:w="0" w:type="dxa"/>
              <w:right w:w="108" w:type="dxa"/>
            </w:tcMar>
            <w:vAlign w:val="center"/>
          </w:tcPr>
          <w:p w14:paraId="2CB3DC70"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1.固定收益类资产：境内固定收益类资产包括在银行间市场和交易所发行及交易的国债、金融债、中央银行票据、公司债券、企业债券、非公开定向债务融资工具、可转换债券、可交换债、短期融资券、中期票据、超短期融资券、资产证券化产品（资产支持证券ABS、资产支持票据ABN）、债券基金及其他符合监管要求的固定收益类资产。</w:t>
            </w:r>
            <w:r>
              <w:rPr>
                <w:rFonts w:ascii="宋体" w:hAnsi="宋体" w:cs="Helvetica" w:hint="eastAsia"/>
                <w:kern w:val="0"/>
                <w:sz w:val="18"/>
                <w:szCs w:val="18"/>
              </w:rPr>
              <w:t>境外固定收益类资产包括银行存款、存单、债券逆回购等货币市场工具，政府类债券、信用债券、公募货币型基金、公募债券型基金（含香港互认基金）、与固定收益类资产挂钩的结构性产品以及其他符合监管要求的固定收益类资产。</w:t>
            </w:r>
          </w:p>
          <w:p w14:paraId="168CB4F1"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2.现金类资产：包括现金、银行存款、同业存单、大额可转让存单、货币市场基金、债券回购及其他符合监管要求的现金类资产。</w:t>
            </w:r>
          </w:p>
          <w:p w14:paraId="78CEBB8C"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lastRenderedPageBreak/>
              <w:t>3权益类资产：包括股票、股票基金、混合型基金及其他符合监管要求的权益类资产。</w:t>
            </w:r>
          </w:p>
          <w:p w14:paraId="2E928BAE" w14:textId="77777777" w:rsidR="00052475" w:rsidRDefault="00217E43">
            <w:pPr>
              <w:ind w:firstLineChars="200" w:firstLine="360"/>
              <w:rPr>
                <w:rFonts w:ascii="宋体" w:eastAsia="宋体" w:hAnsi="宋体"/>
                <w:sz w:val="18"/>
                <w:szCs w:val="18"/>
              </w:rPr>
            </w:pPr>
            <w:r>
              <w:rPr>
                <w:rFonts w:ascii="宋体" w:hAnsi="宋体"/>
                <w:sz w:val="18"/>
                <w:szCs w:val="18"/>
              </w:rPr>
              <w:t>4</w:t>
            </w:r>
            <w:r>
              <w:rPr>
                <w:rFonts w:ascii="宋体" w:hAnsi="宋体" w:hint="eastAsia"/>
                <w:sz w:val="18"/>
                <w:szCs w:val="18"/>
              </w:rPr>
              <w:t>.其他符合监管要求的资产。</w:t>
            </w:r>
          </w:p>
        </w:tc>
      </w:tr>
      <w:tr w:rsidR="00052475" w14:paraId="1A5257DF" w14:textId="77777777">
        <w:trPr>
          <w:trHeight w:val="904"/>
          <w:jc w:val="center"/>
        </w:trPr>
        <w:tc>
          <w:tcPr>
            <w:tcW w:w="2124" w:type="dxa"/>
            <w:tcBorders>
              <w:top w:val="single" w:sz="4" w:space="0" w:color="auto"/>
              <w:bottom w:val="single" w:sz="4" w:space="0" w:color="auto"/>
            </w:tcBorders>
            <w:vAlign w:val="center"/>
          </w:tcPr>
          <w:p w14:paraId="4339E20C" w14:textId="77777777" w:rsidR="00052475" w:rsidRDefault="00217E43">
            <w:pPr>
              <w:jc w:val="center"/>
              <w:rPr>
                <w:rFonts w:ascii="宋体" w:eastAsia="宋体" w:hAnsi="宋体"/>
                <w:sz w:val="18"/>
                <w:szCs w:val="18"/>
              </w:rPr>
            </w:pPr>
            <w:r>
              <w:rPr>
                <w:rFonts w:ascii="宋体" w:eastAsia="宋体" w:hAnsi="宋体" w:hint="eastAsia"/>
                <w:sz w:val="18"/>
                <w:szCs w:val="18"/>
              </w:rPr>
              <w:lastRenderedPageBreak/>
              <w:t>建信理财“龙鑫”（新客专享）固收类最低持有100天开放式理财产品</w:t>
            </w:r>
          </w:p>
        </w:tc>
        <w:tc>
          <w:tcPr>
            <w:tcW w:w="714" w:type="pct"/>
            <w:tcBorders>
              <w:top w:val="single" w:sz="4" w:space="0" w:color="auto"/>
              <w:bottom w:val="single" w:sz="4" w:space="0" w:color="auto"/>
            </w:tcBorders>
            <w:vAlign w:val="center"/>
          </w:tcPr>
          <w:p w14:paraId="06D6C99C" w14:textId="77777777" w:rsidR="00052475" w:rsidRDefault="00217E43">
            <w:pPr>
              <w:spacing w:line="256" w:lineRule="auto"/>
              <w:jc w:val="center"/>
              <w:rPr>
                <w:rFonts w:ascii="宋体" w:eastAsia="宋体" w:hAnsi="宋体"/>
                <w:sz w:val="18"/>
                <w:szCs w:val="18"/>
              </w:rPr>
            </w:pPr>
            <w:r>
              <w:rPr>
                <w:rFonts w:ascii="宋体" w:hAnsi="宋体" w:hint="eastAsia"/>
                <w:sz w:val="18"/>
                <w:szCs w:val="18"/>
              </w:rPr>
              <w:t>Z</w:t>
            </w:r>
            <w:r>
              <w:rPr>
                <w:rFonts w:ascii="宋体" w:hAnsi="宋体"/>
                <w:sz w:val="18"/>
                <w:szCs w:val="18"/>
              </w:rPr>
              <w:t>7000720000733</w:t>
            </w:r>
          </w:p>
        </w:tc>
        <w:tc>
          <w:tcPr>
            <w:tcW w:w="1730" w:type="pct"/>
            <w:tcBorders>
              <w:top w:val="single" w:sz="4" w:space="0" w:color="auto"/>
              <w:bottom w:val="single" w:sz="4" w:space="0" w:color="auto"/>
            </w:tcBorders>
            <w:tcMar>
              <w:top w:w="0" w:type="dxa"/>
              <w:left w:w="108" w:type="dxa"/>
              <w:bottom w:w="0" w:type="dxa"/>
              <w:right w:w="108" w:type="dxa"/>
            </w:tcMar>
            <w:vAlign w:val="center"/>
          </w:tcPr>
          <w:p w14:paraId="300F245F"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1.固定收益类资产：包括在银行间市场和交易所发行及交易的国债、金融债、中央银行票据、公司债券、企业债券、非公开定向债务融资工具、可转换债券、可交换债、短期融资券、中期票据、超短期融资券、资产证券化产品（资产支持证券ABS、资产支持票据ABN）、债券基金及其他符合监管要求的固定收益类资产。</w:t>
            </w:r>
          </w:p>
          <w:p w14:paraId="4FF32EEC"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2.现金类资产：包括现金、银行存款、同业存单、大额可转让存单、货币市场基金、债券回购及其他符合监管要求的现金类资产。</w:t>
            </w:r>
          </w:p>
          <w:p w14:paraId="3F5BE87B"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3、权益类资产：包括股票、股票基金、混合型基金及其他符合监管要求的权益类资产。</w:t>
            </w:r>
          </w:p>
          <w:p w14:paraId="6AAA6EDD" w14:textId="77777777" w:rsidR="00052475" w:rsidRDefault="00217E43">
            <w:pPr>
              <w:ind w:firstLineChars="200" w:firstLine="360"/>
              <w:rPr>
                <w:rFonts w:ascii="宋体" w:eastAsia="宋体" w:hAnsi="宋体"/>
                <w:sz w:val="18"/>
                <w:szCs w:val="18"/>
              </w:rPr>
            </w:pPr>
            <w:r>
              <w:rPr>
                <w:rFonts w:ascii="宋体" w:hAnsi="宋体"/>
                <w:sz w:val="18"/>
                <w:szCs w:val="18"/>
              </w:rPr>
              <w:t>4</w:t>
            </w:r>
            <w:r>
              <w:rPr>
                <w:rFonts w:ascii="宋体" w:hAnsi="宋体" w:hint="eastAsia"/>
                <w:sz w:val="18"/>
                <w:szCs w:val="18"/>
              </w:rPr>
              <w:t>.其他符合监管要求的资产。</w:t>
            </w:r>
          </w:p>
        </w:tc>
        <w:tc>
          <w:tcPr>
            <w:tcW w:w="1749" w:type="pct"/>
            <w:tcBorders>
              <w:top w:val="single" w:sz="4" w:space="0" w:color="auto"/>
              <w:bottom w:val="single" w:sz="4" w:space="0" w:color="auto"/>
            </w:tcBorders>
            <w:tcMar>
              <w:top w:w="0" w:type="dxa"/>
              <w:left w:w="108" w:type="dxa"/>
              <w:bottom w:w="0" w:type="dxa"/>
              <w:right w:w="108" w:type="dxa"/>
            </w:tcMar>
            <w:vAlign w:val="center"/>
          </w:tcPr>
          <w:p w14:paraId="2E68B090"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1.固定收益类资产：境内固定收益类资产包括在银行间市场和交易所发行及交易的国债、金融债、中央银行票据、公司债券、企业债券、非公开定向债务融资工具、可转换债券、可交换债、短期融资券、中期票据、超短期融资券、资产证券化产品（资产支持证券ABS、资产支持票据ABN）、债券基金及其他符合监管要求的固定收益类资产。境外固定收益类资产包括银行存款、存单、债券逆回购等货币市场工具，政府类债券、信用债券、公募货币型基金、公募债券型基金（含香港互认基金）、与固定收益类资产挂钩的结构性产品以及其他符合监管要求的固定收益类资产。</w:t>
            </w:r>
          </w:p>
          <w:p w14:paraId="19BCA843"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2.现金类资产：包括现金、银行存款、同业存单、大额可转让存单、货币市场基金、债券回购及其他符合监管要求的现金类资产。</w:t>
            </w:r>
          </w:p>
          <w:p w14:paraId="5470EB00" w14:textId="77777777" w:rsidR="00052475" w:rsidRDefault="00217E43">
            <w:pPr>
              <w:ind w:firstLineChars="200" w:firstLine="360"/>
              <w:rPr>
                <w:rFonts w:ascii="宋体" w:hAnsi="宋体" w:cs="彩虹粗仿宋"/>
                <w:sz w:val="18"/>
                <w:szCs w:val="18"/>
              </w:rPr>
            </w:pPr>
            <w:r>
              <w:rPr>
                <w:rFonts w:ascii="宋体" w:hAnsi="宋体" w:cs="彩虹粗仿宋" w:hint="eastAsia"/>
                <w:sz w:val="18"/>
                <w:szCs w:val="18"/>
              </w:rPr>
              <w:t>3、权益类资产：包括股票、股票基金、混合型基金及其他符合监管要求的权益类资产。</w:t>
            </w:r>
          </w:p>
          <w:p w14:paraId="3597280C" w14:textId="77777777" w:rsidR="00052475" w:rsidRDefault="00217E43">
            <w:pPr>
              <w:ind w:firstLineChars="200" w:firstLine="360"/>
              <w:rPr>
                <w:rFonts w:ascii="宋体" w:eastAsia="宋体" w:hAnsi="宋体"/>
                <w:sz w:val="18"/>
                <w:szCs w:val="18"/>
              </w:rPr>
            </w:pPr>
            <w:r>
              <w:rPr>
                <w:rFonts w:ascii="宋体" w:hAnsi="宋体"/>
                <w:sz w:val="18"/>
                <w:szCs w:val="18"/>
              </w:rPr>
              <w:t>4</w:t>
            </w:r>
            <w:r>
              <w:rPr>
                <w:rFonts w:ascii="宋体" w:hAnsi="宋体" w:hint="eastAsia"/>
                <w:sz w:val="18"/>
                <w:szCs w:val="18"/>
              </w:rPr>
              <w:t>.其他符合监管要求的资产。</w:t>
            </w:r>
          </w:p>
        </w:tc>
      </w:tr>
      <w:tr w:rsidR="00052475" w14:paraId="4A574C5F" w14:textId="77777777">
        <w:trPr>
          <w:trHeight w:val="904"/>
          <w:jc w:val="center"/>
        </w:trPr>
        <w:tc>
          <w:tcPr>
            <w:tcW w:w="2124" w:type="dxa"/>
            <w:tcBorders>
              <w:top w:val="single" w:sz="4" w:space="0" w:color="auto"/>
              <w:bottom w:val="thinThickSmallGap" w:sz="24" w:space="0" w:color="auto"/>
            </w:tcBorders>
            <w:vAlign w:val="center"/>
          </w:tcPr>
          <w:p w14:paraId="59EA077E" w14:textId="77777777" w:rsidR="00052475" w:rsidRDefault="00217E43">
            <w:pPr>
              <w:widowControl/>
              <w:jc w:val="center"/>
              <w:rPr>
                <w:rFonts w:ascii="宋体" w:eastAsia="宋体" w:hAnsi="宋体"/>
                <w:sz w:val="18"/>
                <w:szCs w:val="18"/>
              </w:rPr>
            </w:pPr>
            <w:r>
              <w:rPr>
                <w:rFonts w:ascii="宋体" w:hAnsi="宋体" w:cs="Helvetica" w:hint="eastAsia"/>
                <w:kern w:val="0"/>
                <w:sz w:val="18"/>
                <w:szCs w:val="18"/>
              </w:rPr>
              <w:t>建信理财“开鑫”最低持有90天开放理财产品第1期</w:t>
            </w:r>
          </w:p>
        </w:tc>
        <w:tc>
          <w:tcPr>
            <w:tcW w:w="714" w:type="pct"/>
            <w:tcBorders>
              <w:top w:val="single" w:sz="4" w:space="0" w:color="auto"/>
              <w:bottom w:val="thinThickSmallGap" w:sz="24" w:space="0" w:color="auto"/>
            </w:tcBorders>
            <w:vAlign w:val="center"/>
          </w:tcPr>
          <w:p w14:paraId="4296CDF2" w14:textId="77777777" w:rsidR="00052475" w:rsidRDefault="00217E43">
            <w:pPr>
              <w:spacing w:line="256" w:lineRule="auto"/>
              <w:jc w:val="center"/>
              <w:rPr>
                <w:rFonts w:ascii="宋体" w:eastAsia="宋体" w:hAnsi="宋体"/>
                <w:sz w:val="18"/>
                <w:szCs w:val="18"/>
              </w:rPr>
            </w:pPr>
            <w:r w:rsidRPr="00B87D6A">
              <w:rPr>
                <w:rFonts w:ascii="宋体" w:hAnsi="宋体"/>
                <w:sz w:val="18"/>
                <w:szCs w:val="18"/>
              </w:rPr>
              <w:t>Z7000720000159</w:t>
            </w:r>
          </w:p>
        </w:tc>
        <w:tc>
          <w:tcPr>
            <w:tcW w:w="1730" w:type="pct"/>
            <w:tcBorders>
              <w:top w:val="single" w:sz="4" w:space="0" w:color="auto"/>
              <w:bottom w:val="thinThickSmallGap" w:sz="24" w:space="0" w:color="auto"/>
            </w:tcBorders>
            <w:tcMar>
              <w:top w:w="0" w:type="dxa"/>
              <w:left w:w="108" w:type="dxa"/>
              <w:bottom w:w="0" w:type="dxa"/>
              <w:right w:w="108" w:type="dxa"/>
            </w:tcMar>
            <w:vAlign w:val="center"/>
          </w:tcPr>
          <w:p w14:paraId="10999D23"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1.现金类资产：包括但不限于活期存款、定期存款等；</w:t>
            </w:r>
          </w:p>
          <w:p w14:paraId="1346D2F2"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2.货币市场工具：包括但不限于质押式回购、买断</w:t>
            </w:r>
            <w:r>
              <w:rPr>
                <w:rFonts w:ascii="宋体" w:eastAsia="宋体" w:hAnsi="宋体" w:hint="eastAsia"/>
                <w:sz w:val="18"/>
                <w:szCs w:val="18"/>
              </w:rPr>
              <w:lastRenderedPageBreak/>
              <w:t>式回购、交易所协议式回购、债券借贷等；</w:t>
            </w:r>
          </w:p>
          <w:p w14:paraId="7C7D5F03"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3.货币市场基金、债券型基金等证券投资基金；</w:t>
            </w:r>
          </w:p>
          <w:p w14:paraId="5367881F"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4.标准化固定收益类资产：包括但不限于国债、中央银行票据、同业存单、金融债、企业债、公司债、中期票据、短期融资券、超短期融资券、定向债务融资工具（PPN）、资产支持证券（包括ABS和MBS）、资产支持票据（ABN）、可转债、可交换债券等；</w:t>
            </w:r>
          </w:p>
          <w:p w14:paraId="1ECC619C"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5.以上述资产为基础资产的各类金融机构设立的资产管理计划、信托计划、券商集合计划、基金管理公司专户；</w:t>
            </w:r>
          </w:p>
          <w:p w14:paraId="49838151"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6.金融衍生品：利率互换、国债期货等；</w:t>
            </w:r>
          </w:p>
          <w:p w14:paraId="6AFE3F24"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7.因可转换债券转股所形成的股票；</w:t>
            </w:r>
          </w:p>
          <w:p w14:paraId="6EF4087D" w14:textId="77777777" w:rsidR="00052475" w:rsidRDefault="00217E43">
            <w:pPr>
              <w:ind w:firstLineChars="200" w:firstLine="360"/>
              <w:rPr>
                <w:rFonts w:ascii="宋体" w:eastAsia="宋体" w:hAnsi="宋体"/>
                <w:sz w:val="18"/>
                <w:szCs w:val="18"/>
              </w:rPr>
            </w:pPr>
            <w:r>
              <w:rPr>
                <w:rFonts w:ascii="宋体" w:eastAsia="宋体" w:hAnsi="宋体" w:hint="eastAsia"/>
                <w:sz w:val="18"/>
                <w:szCs w:val="18"/>
              </w:rPr>
              <w:t>8.其他符合监管要求的资产；</w:t>
            </w:r>
          </w:p>
        </w:tc>
        <w:tc>
          <w:tcPr>
            <w:tcW w:w="1749" w:type="pct"/>
            <w:tcBorders>
              <w:top w:val="single" w:sz="4" w:space="0" w:color="auto"/>
              <w:bottom w:val="thinThickSmallGap" w:sz="24" w:space="0" w:color="auto"/>
            </w:tcBorders>
            <w:tcMar>
              <w:top w:w="0" w:type="dxa"/>
              <w:left w:w="108" w:type="dxa"/>
              <w:bottom w:w="0" w:type="dxa"/>
              <w:right w:w="108" w:type="dxa"/>
            </w:tcMar>
            <w:vAlign w:val="center"/>
          </w:tcPr>
          <w:p w14:paraId="03735B83" w14:textId="77777777" w:rsidR="00052475" w:rsidRDefault="00217E43">
            <w:pPr>
              <w:ind w:firstLineChars="200" w:firstLine="400"/>
              <w:rPr>
                <w:rFonts w:ascii="宋体" w:hAnsi="宋体"/>
                <w:sz w:val="20"/>
                <w:szCs w:val="20"/>
              </w:rPr>
            </w:pPr>
            <w:r>
              <w:rPr>
                <w:rFonts w:ascii="宋体" w:hAnsi="宋体" w:hint="eastAsia"/>
                <w:sz w:val="20"/>
                <w:szCs w:val="20"/>
              </w:rPr>
              <w:lastRenderedPageBreak/>
              <w:t>1.现金类资产：包括但不限于活期存款、定期存款等；</w:t>
            </w:r>
          </w:p>
          <w:p w14:paraId="169835F8" w14:textId="77777777" w:rsidR="00052475" w:rsidRDefault="00217E43">
            <w:pPr>
              <w:ind w:firstLineChars="200" w:firstLine="400"/>
              <w:rPr>
                <w:rFonts w:ascii="宋体" w:hAnsi="宋体"/>
                <w:sz w:val="20"/>
                <w:szCs w:val="20"/>
              </w:rPr>
            </w:pPr>
            <w:r>
              <w:rPr>
                <w:rFonts w:ascii="宋体" w:hAnsi="宋体" w:hint="eastAsia"/>
                <w:sz w:val="20"/>
                <w:szCs w:val="20"/>
              </w:rPr>
              <w:t>2.货币市场工具：包括但不限于质押式回购、</w:t>
            </w:r>
            <w:r>
              <w:rPr>
                <w:rFonts w:ascii="宋体" w:hAnsi="宋体" w:hint="eastAsia"/>
                <w:sz w:val="20"/>
                <w:szCs w:val="20"/>
              </w:rPr>
              <w:lastRenderedPageBreak/>
              <w:t>买断式回购、交易所协议式回购、债券借贷等；</w:t>
            </w:r>
          </w:p>
          <w:p w14:paraId="0624AD86" w14:textId="77777777" w:rsidR="00052475" w:rsidRDefault="00217E43">
            <w:pPr>
              <w:ind w:firstLineChars="200" w:firstLine="400"/>
              <w:rPr>
                <w:rFonts w:ascii="宋体" w:hAnsi="宋体"/>
                <w:sz w:val="20"/>
                <w:szCs w:val="20"/>
              </w:rPr>
            </w:pPr>
            <w:r>
              <w:rPr>
                <w:rFonts w:ascii="宋体" w:hAnsi="宋体" w:hint="eastAsia"/>
                <w:sz w:val="20"/>
                <w:szCs w:val="20"/>
              </w:rPr>
              <w:t>3.货币市场基金、债券型基金等证券投资基金；</w:t>
            </w:r>
          </w:p>
          <w:p w14:paraId="520F8E9D" w14:textId="77777777" w:rsidR="00052475" w:rsidRDefault="00217E43">
            <w:pPr>
              <w:ind w:firstLineChars="200" w:firstLine="400"/>
              <w:rPr>
                <w:rFonts w:ascii="宋体" w:hAnsi="宋体"/>
                <w:sz w:val="20"/>
                <w:szCs w:val="20"/>
              </w:rPr>
            </w:pPr>
            <w:r>
              <w:rPr>
                <w:rFonts w:ascii="宋体" w:hAnsi="宋体" w:hint="eastAsia"/>
                <w:sz w:val="20"/>
                <w:szCs w:val="20"/>
              </w:rPr>
              <w:t>4.标准化固定收益类资产：境内固定收益类资产包括但不限于国债、中央银行票据、同业存单、金融债、企业债、公司债、中期票据、短期融资券、超短期融资券、定向债务融资工具（PPN）、资产支持证券（包括ABS和MBS）、资产支持票据（ABN）、可转债、可交换债券等。</w:t>
            </w:r>
            <w:r>
              <w:rPr>
                <w:rFonts w:ascii="宋体" w:hAnsi="宋体" w:cs="Times New Roman" w:hint="eastAsia"/>
                <w:sz w:val="20"/>
                <w:szCs w:val="20"/>
              </w:rPr>
              <w:t>境外固定收益类资产包括银行存款、存单、债券逆回购等货币市场工具，政府类债券、信用债券、公募货币型基金、公募债券型基金（含香港互认基金）、与固定收益类资产挂钩的结构性产品以及其他符合监管要求的固定收益类资产</w:t>
            </w:r>
            <w:r>
              <w:rPr>
                <w:rFonts w:ascii="宋体" w:hAnsi="宋体" w:hint="eastAsia"/>
                <w:sz w:val="20"/>
                <w:szCs w:val="20"/>
              </w:rPr>
              <w:t>；</w:t>
            </w:r>
          </w:p>
          <w:p w14:paraId="69D3C6DB" w14:textId="77777777" w:rsidR="00052475" w:rsidRDefault="00217E43">
            <w:pPr>
              <w:ind w:firstLineChars="200" w:firstLine="400"/>
              <w:rPr>
                <w:rFonts w:ascii="宋体" w:hAnsi="宋体"/>
                <w:sz w:val="20"/>
                <w:szCs w:val="20"/>
              </w:rPr>
            </w:pPr>
            <w:r>
              <w:rPr>
                <w:rFonts w:ascii="宋体" w:hAnsi="宋体"/>
                <w:sz w:val="20"/>
                <w:szCs w:val="20"/>
              </w:rPr>
              <w:t>5</w:t>
            </w:r>
            <w:r>
              <w:rPr>
                <w:rFonts w:ascii="宋体" w:hAnsi="宋体" w:hint="eastAsia"/>
                <w:sz w:val="20"/>
                <w:szCs w:val="20"/>
              </w:rPr>
              <w:t>.以上述资产为基础资产的各类金融机构设立的资产管理计划、信托计划、券商集合计划、基金管理公司专户；</w:t>
            </w:r>
          </w:p>
          <w:p w14:paraId="0F354851" w14:textId="77777777" w:rsidR="00052475" w:rsidRDefault="00217E43">
            <w:pPr>
              <w:ind w:firstLineChars="200" w:firstLine="400"/>
              <w:rPr>
                <w:rFonts w:ascii="宋体" w:hAnsi="宋体"/>
                <w:sz w:val="20"/>
                <w:szCs w:val="20"/>
              </w:rPr>
            </w:pPr>
            <w:r>
              <w:rPr>
                <w:rFonts w:ascii="宋体" w:hAnsi="宋体"/>
                <w:sz w:val="20"/>
                <w:szCs w:val="20"/>
              </w:rPr>
              <w:t>6</w:t>
            </w:r>
            <w:r>
              <w:rPr>
                <w:rFonts w:ascii="宋体" w:hAnsi="宋体" w:hint="eastAsia"/>
                <w:sz w:val="20"/>
                <w:szCs w:val="20"/>
              </w:rPr>
              <w:t>.金融衍生品：利率互换、国债期货等；</w:t>
            </w:r>
          </w:p>
          <w:p w14:paraId="0074EA78" w14:textId="77777777" w:rsidR="00052475" w:rsidRDefault="00217E43">
            <w:pPr>
              <w:ind w:firstLineChars="200" w:firstLine="400"/>
              <w:rPr>
                <w:rFonts w:ascii="宋体" w:hAnsi="宋体"/>
                <w:sz w:val="20"/>
                <w:szCs w:val="20"/>
              </w:rPr>
            </w:pPr>
            <w:r>
              <w:rPr>
                <w:rFonts w:ascii="宋体" w:hAnsi="宋体"/>
                <w:sz w:val="20"/>
                <w:szCs w:val="20"/>
              </w:rPr>
              <w:t>7.</w:t>
            </w:r>
            <w:r>
              <w:rPr>
                <w:rFonts w:ascii="宋体" w:hAnsi="宋体" w:hint="eastAsia"/>
                <w:sz w:val="20"/>
                <w:szCs w:val="20"/>
              </w:rPr>
              <w:t>因可转换债券转股所形成的股票；</w:t>
            </w:r>
          </w:p>
          <w:p w14:paraId="008814CC" w14:textId="77777777" w:rsidR="00052475" w:rsidRDefault="00217E43">
            <w:pPr>
              <w:ind w:firstLineChars="200" w:firstLine="400"/>
              <w:rPr>
                <w:rFonts w:ascii="宋体" w:eastAsia="宋体" w:hAnsi="宋体"/>
                <w:sz w:val="18"/>
                <w:szCs w:val="18"/>
              </w:rPr>
            </w:pPr>
            <w:r>
              <w:rPr>
                <w:rFonts w:ascii="宋体" w:hAnsi="宋体"/>
                <w:sz w:val="20"/>
                <w:szCs w:val="20"/>
              </w:rPr>
              <w:t>8</w:t>
            </w:r>
            <w:r>
              <w:rPr>
                <w:rFonts w:ascii="宋体" w:hAnsi="宋体" w:hint="eastAsia"/>
                <w:sz w:val="20"/>
                <w:szCs w:val="20"/>
              </w:rPr>
              <w:t>.其他符合监管要求的资产；</w:t>
            </w:r>
          </w:p>
        </w:tc>
      </w:tr>
    </w:tbl>
    <w:p w14:paraId="60E1A5F9" w14:textId="77777777" w:rsidR="00052475" w:rsidRDefault="00217E43">
      <w:pPr>
        <w:pStyle w:val="ad"/>
        <w:numPr>
          <w:ilvl w:val="0"/>
          <w:numId w:val="1"/>
        </w:numPr>
        <w:snapToGrid w:val="0"/>
        <w:spacing w:line="460" w:lineRule="atLeast"/>
        <w:ind w:firstLine="420"/>
        <w:rPr>
          <w:rFonts w:cs="Arial"/>
          <w:sz w:val="21"/>
          <w:szCs w:val="21"/>
        </w:rPr>
      </w:pPr>
      <w:r>
        <w:rPr>
          <w:rFonts w:cs="Arial" w:hint="eastAsia"/>
          <w:sz w:val="21"/>
          <w:szCs w:val="21"/>
        </w:rPr>
        <w:lastRenderedPageBreak/>
        <w:t>调整投资比例</w:t>
      </w:r>
    </w:p>
    <w:tbl>
      <w:tblPr>
        <w:tblW w:w="4700" w:type="pct"/>
        <w:jc w:val="center"/>
        <w:tblBorders>
          <w:top w:val="thinThickSmallGap" w:sz="24" w:space="0" w:color="auto"/>
          <w:bottom w:val="thinThick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8"/>
        <w:gridCol w:w="1875"/>
        <w:gridCol w:w="4538"/>
        <w:gridCol w:w="4600"/>
      </w:tblGrid>
      <w:tr w:rsidR="00052475" w14:paraId="3A0D0C12" w14:textId="77777777">
        <w:trPr>
          <w:trHeight w:val="517"/>
          <w:tblHeader/>
          <w:jc w:val="center"/>
        </w:trPr>
        <w:tc>
          <w:tcPr>
            <w:tcW w:w="803" w:type="pct"/>
            <w:vMerge w:val="restart"/>
            <w:vAlign w:val="center"/>
          </w:tcPr>
          <w:p w14:paraId="034627F2" w14:textId="77777777" w:rsidR="00052475" w:rsidRDefault="00217E43">
            <w:pPr>
              <w:pStyle w:val="ad"/>
              <w:snapToGrid w:val="0"/>
              <w:jc w:val="center"/>
              <w:rPr>
                <w:rFonts w:ascii="Arial" w:hAnsi="Arial" w:cs="Arial"/>
                <w:sz w:val="18"/>
                <w:szCs w:val="18"/>
              </w:rPr>
            </w:pPr>
            <w:r>
              <w:rPr>
                <w:rStyle w:val="ae"/>
                <w:rFonts w:cs="Arial" w:hint="eastAsia"/>
                <w:sz w:val="18"/>
                <w:szCs w:val="18"/>
              </w:rPr>
              <w:lastRenderedPageBreak/>
              <w:t>产品名称</w:t>
            </w:r>
          </w:p>
        </w:tc>
        <w:tc>
          <w:tcPr>
            <w:tcW w:w="714" w:type="pct"/>
            <w:vMerge w:val="restart"/>
            <w:vAlign w:val="center"/>
          </w:tcPr>
          <w:p w14:paraId="37315E8F" w14:textId="77777777" w:rsidR="00052475" w:rsidRDefault="00217E43">
            <w:pPr>
              <w:pStyle w:val="ad"/>
              <w:snapToGrid w:val="0"/>
              <w:spacing w:before="0" w:beforeAutospacing="0" w:after="0" w:afterAutospacing="0"/>
              <w:jc w:val="center"/>
              <w:rPr>
                <w:rFonts w:ascii="Arial" w:hAnsi="Arial" w:cs="Arial"/>
                <w:b/>
                <w:sz w:val="18"/>
                <w:szCs w:val="18"/>
              </w:rPr>
            </w:pPr>
            <w:r>
              <w:rPr>
                <w:rFonts w:ascii="Arial" w:hAnsi="Arial" w:cs="Arial" w:hint="eastAsia"/>
                <w:b/>
                <w:sz w:val="18"/>
                <w:szCs w:val="18"/>
              </w:rPr>
              <w:t>全国银行业理财信息</w:t>
            </w:r>
          </w:p>
          <w:p w14:paraId="1995E450" w14:textId="77777777" w:rsidR="00052475" w:rsidRDefault="00217E43">
            <w:pPr>
              <w:pStyle w:val="ad"/>
              <w:snapToGrid w:val="0"/>
              <w:spacing w:before="0" w:beforeAutospacing="0" w:after="0" w:afterAutospacing="0"/>
              <w:jc w:val="center"/>
              <w:rPr>
                <w:rFonts w:ascii="Arial" w:hAnsi="Arial" w:cs="Arial"/>
                <w:sz w:val="18"/>
                <w:szCs w:val="18"/>
              </w:rPr>
            </w:pPr>
            <w:r>
              <w:rPr>
                <w:rFonts w:ascii="Arial" w:hAnsi="Arial" w:cs="Arial" w:hint="eastAsia"/>
                <w:b/>
                <w:sz w:val="18"/>
                <w:szCs w:val="18"/>
              </w:rPr>
              <w:t>登记系统编码</w:t>
            </w:r>
          </w:p>
        </w:tc>
        <w:tc>
          <w:tcPr>
            <w:tcW w:w="3482" w:type="pct"/>
            <w:gridSpan w:val="2"/>
            <w:tcMar>
              <w:top w:w="0" w:type="dxa"/>
              <w:left w:w="108" w:type="dxa"/>
              <w:bottom w:w="0" w:type="dxa"/>
              <w:right w:w="108" w:type="dxa"/>
            </w:tcMar>
            <w:vAlign w:val="center"/>
          </w:tcPr>
          <w:p w14:paraId="4F9D70A2" w14:textId="77777777" w:rsidR="00052475" w:rsidRDefault="00217E43">
            <w:pPr>
              <w:pStyle w:val="ad"/>
              <w:snapToGrid w:val="0"/>
              <w:jc w:val="center"/>
              <w:rPr>
                <w:rFonts w:ascii="Arial" w:hAnsi="Arial" w:cs="Arial"/>
                <w:b/>
                <w:sz w:val="18"/>
                <w:szCs w:val="18"/>
              </w:rPr>
            </w:pPr>
            <w:r>
              <w:rPr>
                <w:rFonts w:ascii="Arial" w:hAnsi="Arial" w:cs="Arial" w:hint="eastAsia"/>
                <w:b/>
                <w:sz w:val="18"/>
                <w:szCs w:val="18"/>
              </w:rPr>
              <w:t>投资比例</w:t>
            </w:r>
          </w:p>
        </w:tc>
      </w:tr>
      <w:tr w:rsidR="00052475" w14:paraId="2633E622" w14:textId="77777777">
        <w:trPr>
          <w:trHeight w:val="281"/>
          <w:tblHeader/>
          <w:jc w:val="center"/>
        </w:trPr>
        <w:tc>
          <w:tcPr>
            <w:tcW w:w="803" w:type="pct"/>
            <w:vMerge/>
            <w:vAlign w:val="center"/>
          </w:tcPr>
          <w:p w14:paraId="1E28A88B" w14:textId="77777777" w:rsidR="00052475" w:rsidRDefault="00052475">
            <w:pPr>
              <w:rPr>
                <w:rFonts w:ascii="Arial" w:eastAsia="宋体" w:hAnsi="Arial" w:cs="Arial"/>
                <w:sz w:val="18"/>
                <w:szCs w:val="18"/>
              </w:rPr>
            </w:pPr>
          </w:p>
        </w:tc>
        <w:tc>
          <w:tcPr>
            <w:tcW w:w="714" w:type="pct"/>
            <w:vMerge/>
            <w:vAlign w:val="center"/>
          </w:tcPr>
          <w:p w14:paraId="52E55DAB" w14:textId="77777777" w:rsidR="00052475" w:rsidRDefault="00052475">
            <w:pPr>
              <w:jc w:val="center"/>
              <w:rPr>
                <w:rFonts w:ascii="宋体" w:eastAsia="宋体" w:hAnsi="宋体" w:cs="Arial"/>
                <w:kern w:val="0"/>
                <w:sz w:val="18"/>
                <w:szCs w:val="18"/>
              </w:rPr>
            </w:pPr>
          </w:p>
        </w:tc>
        <w:tc>
          <w:tcPr>
            <w:tcW w:w="1729" w:type="pct"/>
            <w:tcMar>
              <w:top w:w="0" w:type="dxa"/>
              <w:left w:w="108" w:type="dxa"/>
              <w:bottom w:w="0" w:type="dxa"/>
              <w:right w:w="108" w:type="dxa"/>
            </w:tcMar>
            <w:vAlign w:val="center"/>
          </w:tcPr>
          <w:p w14:paraId="782C7FA0" w14:textId="77777777" w:rsidR="00052475" w:rsidRDefault="00217E43">
            <w:pPr>
              <w:pStyle w:val="ad"/>
              <w:snapToGrid w:val="0"/>
              <w:jc w:val="center"/>
              <w:rPr>
                <w:rFonts w:ascii="Arial" w:hAnsi="Arial" w:cs="Arial"/>
                <w:sz w:val="18"/>
                <w:szCs w:val="18"/>
              </w:rPr>
            </w:pPr>
            <w:r>
              <w:rPr>
                <w:rStyle w:val="ae"/>
                <w:rFonts w:cs="Arial" w:hint="eastAsia"/>
                <w:sz w:val="18"/>
                <w:szCs w:val="18"/>
              </w:rPr>
              <w:t>调整前</w:t>
            </w:r>
          </w:p>
        </w:tc>
        <w:tc>
          <w:tcPr>
            <w:tcW w:w="1753" w:type="pct"/>
            <w:tcMar>
              <w:top w:w="0" w:type="dxa"/>
              <w:left w:w="108" w:type="dxa"/>
              <w:bottom w:w="0" w:type="dxa"/>
              <w:right w:w="108" w:type="dxa"/>
            </w:tcMar>
            <w:vAlign w:val="center"/>
          </w:tcPr>
          <w:p w14:paraId="3E06D520" w14:textId="77777777" w:rsidR="00052475" w:rsidRDefault="00217E43">
            <w:pPr>
              <w:pStyle w:val="ad"/>
              <w:snapToGrid w:val="0"/>
              <w:jc w:val="center"/>
              <w:rPr>
                <w:rFonts w:ascii="Arial" w:hAnsi="Arial" w:cs="Arial"/>
                <w:sz w:val="18"/>
                <w:szCs w:val="18"/>
              </w:rPr>
            </w:pPr>
            <w:r>
              <w:rPr>
                <w:rStyle w:val="ae"/>
                <w:rFonts w:cs="Arial" w:hint="eastAsia"/>
                <w:sz w:val="18"/>
                <w:szCs w:val="18"/>
              </w:rPr>
              <w:t>调整后</w:t>
            </w:r>
          </w:p>
        </w:tc>
      </w:tr>
      <w:tr w:rsidR="00052475" w14:paraId="5B427AD3" w14:textId="77777777">
        <w:trPr>
          <w:trHeight w:val="633"/>
          <w:jc w:val="center"/>
        </w:trPr>
        <w:tc>
          <w:tcPr>
            <w:tcW w:w="803" w:type="pct"/>
            <w:vAlign w:val="center"/>
          </w:tcPr>
          <w:p w14:paraId="560F6CD1" w14:textId="77777777" w:rsidR="00052475" w:rsidRDefault="00217E43">
            <w:pPr>
              <w:jc w:val="center"/>
              <w:rPr>
                <w:rFonts w:ascii="宋体" w:eastAsia="宋体" w:hAnsi="宋体"/>
                <w:sz w:val="18"/>
                <w:szCs w:val="18"/>
              </w:rPr>
            </w:pPr>
            <w:r>
              <w:rPr>
                <w:rFonts w:ascii="宋体" w:hAnsi="宋体" w:cs="Helvetica" w:hint="eastAsia"/>
                <w:kern w:val="0"/>
                <w:sz w:val="18"/>
                <w:szCs w:val="18"/>
              </w:rPr>
              <w:t>建信理财龙鑫固收类最低持有1年产品第4期</w:t>
            </w:r>
          </w:p>
        </w:tc>
        <w:tc>
          <w:tcPr>
            <w:tcW w:w="1891" w:type="dxa"/>
            <w:vAlign w:val="center"/>
          </w:tcPr>
          <w:p w14:paraId="09680520" w14:textId="77777777" w:rsidR="00052475" w:rsidRDefault="00217E43">
            <w:pPr>
              <w:spacing w:line="256" w:lineRule="auto"/>
              <w:jc w:val="center"/>
              <w:rPr>
                <w:rFonts w:ascii="宋体" w:eastAsia="宋体" w:hAnsi="宋体"/>
                <w:sz w:val="18"/>
                <w:szCs w:val="18"/>
              </w:rPr>
            </w:pPr>
            <w:r w:rsidRPr="00B87D6A">
              <w:rPr>
                <w:rFonts w:ascii="宋体" w:hAnsi="宋体"/>
                <w:sz w:val="18"/>
                <w:szCs w:val="18"/>
              </w:rPr>
              <w:t>Z7000725000118</w:t>
            </w:r>
          </w:p>
        </w:tc>
        <w:tc>
          <w:tcPr>
            <w:tcW w:w="1729" w:type="pct"/>
            <w:tcMar>
              <w:top w:w="0" w:type="dxa"/>
              <w:left w:w="108" w:type="dxa"/>
              <w:bottom w:w="0" w:type="dxa"/>
              <w:right w:w="108" w:type="dxa"/>
            </w:tcMar>
            <w:vAlign w:val="center"/>
          </w:tcPr>
          <w:p w14:paraId="1FD03744" w14:textId="77777777" w:rsidR="00052475" w:rsidRDefault="00217E43">
            <w:pPr>
              <w:jc w:val="center"/>
              <w:rPr>
                <w:rFonts w:ascii="Arial" w:hAnsi="Arial" w:cs="Arial"/>
                <w:sz w:val="18"/>
                <w:szCs w:val="18"/>
              </w:rPr>
            </w:pPr>
            <w:r>
              <w:rPr>
                <w:rFonts w:ascii="宋体" w:hAnsi="宋体" w:cs="Helvetica" w:hint="eastAsia"/>
                <w:kern w:val="0"/>
                <w:sz w:val="18"/>
                <w:szCs w:val="18"/>
              </w:rPr>
              <w:t>固定收益类资产比例为</w:t>
            </w:r>
            <w:r>
              <w:rPr>
                <w:rFonts w:ascii="宋体" w:hAnsi="宋体" w:cs="Helvetica"/>
                <w:kern w:val="0"/>
                <w:sz w:val="18"/>
                <w:szCs w:val="18"/>
              </w:rPr>
              <w:t>95%-100%，其他资产比例为0%-5%。</w:t>
            </w:r>
          </w:p>
        </w:tc>
        <w:tc>
          <w:tcPr>
            <w:tcW w:w="1753" w:type="pct"/>
            <w:vMerge w:val="restart"/>
            <w:tcMar>
              <w:top w:w="0" w:type="dxa"/>
              <w:left w:w="108" w:type="dxa"/>
              <w:bottom w:w="0" w:type="dxa"/>
              <w:right w:w="108" w:type="dxa"/>
            </w:tcMar>
            <w:vAlign w:val="center"/>
          </w:tcPr>
          <w:p w14:paraId="381036CF" w14:textId="77777777" w:rsidR="00052475" w:rsidRDefault="00217E43">
            <w:pPr>
              <w:ind w:firstLineChars="200" w:firstLine="360"/>
              <w:rPr>
                <w:rFonts w:asciiTheme="minorEastAsia" w:hAnsiTheme="minorEastAsia" w:cs="彩虹粗仿宋"/>
                <w:sz w:val="18"/>
                <w:szCs w:val="18"/>
              </w:rPr>
            </w:pPr>
            <w:r>
              <w:rPr>
                <w:rFonts w:ascii="宋体" w:hAnsi="宋体" w:cs="Helvetica" w:hint="eastAsia"/>
                <w:kern w:val="0"/>
                <w:sz w:val="18"/>
                <w:szCs w:val="18"/>
              </w:rPr>
              <w:t>固定收益类资产（及现金类资产）比例为</w:t>
            </w:r>
            <w:r>
              <w:rPr>
                <w:rFonts w:ascii="宋体" w:hAnsi="宋体" w:cs="Helvetica"/>
                <w:kern w:val="0"/>
                <w:sz w:val="18"/>
                <w:szCs w:val="18"/>
              </w:rPr>
              <w:t>80%-100%，</w:t>
            </w:r>
            <w:r>
              <w:rPr>
                <w:rFonts w:ascii="宋体" w:hAnsi="宋体" w:cs="Helvetica" w:hint="eastAsia"/>
                <w:kern w:val="0"/>
                <w:sz w:val="18"/>
                <w:szCs w:val="18"/>
              </w:rPr>
              <w:t>国有大型商业银行优先股、全国性股份制商业银行优先股及国内系统重要性城市商业银行优先股比例为0</w:t>
            </w:r>
            <w:r>
              <w:rPr>
                <w:rFonts w:ascii="宋体" w:hAnsi="宋体" w:cs="Helvetica"/>
                <w:kern w:val="0"/>
                <w:sz w:val="18"/>
                <w:szCs w:val="18"/>
              </w:rPr>
              <w:t>-20</w:t>
            </w:r>
            <w:r>
              <w:rPr>
                <w:rFonts w:ascii="宋体" w:hAnsi="宋体" w:cs="Helvetica" w:hint="eastAsia"/>
                <w:kern w:val="0"/>
                <w:sz w:val="18"/>
                <w:szCs w:val="18"/>
              </w:rPr>
              <w:t>%，其他</w:t>
            </w:r>
            <w:r>
              <w:rPr>
                <w:rFonts w:ascii="宋体" w:hAnsi="宋体" w:cs="Helvetica"/>
                <w:kern w:val="0"/>
                <w:sz w:val="18"/>
                <w:szCs w:val="18"/>
              </w:rPr>
              <w:t>权益类资产及其他符合监管要求的资产比例为0%-5%。</w:t>
            </w:r>
          </w:p>
        </w:tc>
      </w:tr>
      <w:tr w:rsidR="00052475" w14:paraId="13DB87F4" w14:textId="77777777">
        <w:trPr>
          <w:trHeight w:val="633"/>
          <w:jc w:val="center"/>
        </w:trPr>
        <w:tc>
          <w:tcPr>
            <w:tcW w:w="803" w:type="pct"/>
            <w:vAlign w:val="center"/>
          </w:tcPr>
          <w:p w14:paraId="6EBF01B0" w14:textId="77777777" w:rsidR="00052475" w:rsidRDefault="00217E43">
            <w:pPr>
              <w:jc w:val="center"/>
              <w:rPr>
                <w:rFonts w:ascii="宋体" w:eastAsia="宋体" w:hAnsi="宋体"/>
                <w:sz w:val="18"/>
                <w:szCs w:val="18"/>
              </w:rPr>
            </w:pPr>
            <w:r>
              <w:rPr>
                <w:rFonts w:ascii="宋体" w:hAnsi="宋体" w:cs="Helvetica" w:hint="eastAsia"/>
                <w:kern w:val="0"/>
                <w:sz w:val="18"/>
                <w:szCs w:val="18"/>
              </w:rPr>
              <w:t>建信理财“龙鑫”固收类最低持有120天开放式理财产品</w:t>
            </w:r>
          </w:p>
        </w:tc>
        <w:tc>
          <w:tcPr>
            <w:tcW w:w="1891" w:type="dxa"/>
            <w:vAlign w:val="center"/>
          </w:tcPr>
          <w:p w14:paraId="02C654A1" w14:textId="77777777" w:rsidR="00052475" w:rsidRDefault="00217E43">
            <w:pPr>
              <w:spacing w:line="256" w:lineRule="auto"/>
              <w:jc w:val="center"/>
              <w:rPr>
                <w:rFonts w:ascii="宋体" w:eastAsia="宋体" w:hAnsi="宋体"/>
                <w:sz w:val="18"/>
                <w:szCs w:val="18"/>
              </w:rPr>
            </w:pPr>
            <w:r>
              <w:rPr>
                <w:rFonts w:ascii="宋体" w:hAnsi="宋体" w:hint="eastAsia"/>
                <w:sz w:val="18"/>
                <w:szCs w:val="18"/>
              </w:rPr>
              <w:t>Z</w:t>
            </w:r>
            <w:r>
              <w:rPr>
                <w:rFonts w:ascii="宋体" w:hAnsi="宋体"/>
                <w:sz w:val="18"/>
                <w:szCs w:val="18"/>
              </w:rPr>
              <w:t>7000720000782</w:t>
            </w:r>
          </w:p>
        </w:tc>
        <w:tc>
          <w:tcPr>
            <w:tcW w:w="1729" w:type="pct"/>
            <w:tcMar>
              <w:top w:w="0" w:type="dxa"/>
              <w:left w:w="108" w:type="dxa"/>
              <w:bottom w:w="0" w:type="dxa"/>
              <w:right w:w="108" w:type="dxa"/>
            </w:tcMar>
            <w:vAlign w:val="center"/>
          </w:tcPr>
          <w:p w14:paraId="7C31A145" w14:textId="77777777" w:rsidR="00052475" w:rsidRDefault="00217E43">
            <w:pPr>
              <w:jc w:val="center"/>
              <w:rPr>
                <w:rFonts w:ascii="宋体" w:hAnsi="宋体"/>
                <w:sz w:val="18"/>
                <w:szCs w:val="18"/>
              </w:rPr>
            </w:pPr>
            <w:r>
              <w:rPr>
                <w:rFonts w:ascii="宋体" w:hAnsi="宋体" w:cs="Helvetica"/>
                <w:kern w:val="0"/>
                <w:sz w:val="18"/>
                <w:szCs w:val="18"/>
              </w:rPr>
              <w:t>固定收益类资产及现金类资产比例为95%-100%，权益类资产及其他符合监管要求的资产比例为0%-5%。</w:t>
            </w:r>
          </w:p>
        </w:tc>
        <w:tc>
          <w:tcPr>
            <w:tcW w:w="1753" w:type="pct"/>
            <w:vMerge/>
            <w:tcMar>
              <w:top w:w="0" w:type="dxa"/>
              <w:left w:w="108" w:type="dxa"/>
              <w:bottom w:w="0" w:type="dxa"/>
              <w:right w:w="108" w:type="dxa"/>
            </w:tcMar>
            <w:vAlign w:val="center"/>
          </w:tcPr>
          <w:p w14:paraId="27F1BF13" w14:textId="77777777" w:rsidR="00052475" w:rsidRDefault="00052475">
            <w:pPr>
              <w:ind w:firstLineChars="200" w:firstLine="360"/>
              <w:rPr>
                <w:rFonts w:asciiTheme="minorEastAsia" w:hAnsiTheme="minorEastAsia" w:cs="彩虹粗仿宋"/>
                <w:sz w:val="18"/>
                <w:szCs w:val="18"/>
              </w:rPr>
            </w:pPr>
          </w:p>
        </w:tc>
      </w:tr>
      <w:tr w:rsidR="00052475" w14:paraId="228D0B93" w14:textId="77777777">
        <w:trPr>
          <w:trHeight w:val="633"/>
          <w:jc w:val="center"/>
        </w:trPr>
        <w:tc>
          <w:tcPr>
            <w:tcW w:w="803" w:type="pct"/>
            <w:vAlign w:val="center"/>
          </w:tcPr>
          <w:p w14:paraId="4D1A94D7" w14:textId="77777777" w:rsidR="00052475" w:rsidRDefault="00217E43">
            <w:pPr>
              <w:jc w:val="center"/>
              <w:rPr>
                <w:rFonts w:ascii="宋体" w:eastAsia="宋体" w:hAnsi="宋体"/>
                <w:sz w:val="18"/>
                <w:szCs w:val="18"/>
              </w:rPr>
            </w:pPr>
            <w:r>
              <w:rPr>
                <w:rFonts w:ascii="宋体" w:hAnsi="宋体" w:cs="Helvetica" w:hint="eastAsia"/>
                <w:kern w:val="0"/>
                <w:sz w:val="18"/>
                <w:szCs w:val="18"/>
              </w:rPr>
              <w:t>建信理财“龙鑫”（新客专享）固收类最低持有</w:t>
            </w:r>
            <w:r>
              <w:rPr>
                <w:rFonts w:ascii="宋体" w:hAnsi="宋体" w:cs="Helvetica"/>
                <w:kern w:val="0"/>
                <w:sz w:val="18"/>
                <w:szCs w:val="18"/>
              </w:rPr>
              <w:t>100天开放式理财产品</w:t>
            </w:r>
          </w:p>
        </w:tc>
        <w:tc>
          <w:tcPr>
            <w:tcW w:w="1891" w:type="dxa"/>
            <w:vAlign w:val="center"/>
          </w:tcPr>
          <w:p w14:paraId="14387C79" w14:textId="77777777" w:rsidR="00052475" w:rsidRDefault="00217E43">
            <w:pPr>
              <w:spacing w:line="256" w:lineRule="auto"/>
              <w:jc w:val="center"/>
              <w:rPr>
                <w:rFonts w:ascii="宋体" w:eastAsia="宋体" w:hAnsi="宋体"/>
                <w:sz w:val="18"/>
                <w:szCs w:val="18"/>
              </w:rPr>
            </w:pPr>
            <w:r>
              <w:rPr>
                <w:rFonts w:ascii="宋体" w:hAnsi="宋体" w:hint="eastAsia"/>
                <w:sz w:val="18"/>
                <w:szCs w:val="18"/>
              </w:rPr>
              <w:t>Z</w:t>
            </w:r>
            <w:r>
              <w:rPr>
                <w:rFonts w:ascii="宋体" w:hAnsi="宋体"/>
                <w:sz w:val="18"/>
                <w:szCs w:val="18"/>
              </w:rPr>
              <w:t>7000720000733</w:t>
            </w:r>
          </w:p>
        </w:tc>
        <w:tc>
          <w:tcPr>
            <w:tcW w:w="1729" w:type="pct"/>
            <w:tcMar>
              <w:top w:w="0" w:type="dxa"/>
              <w:left w:w="108" w:type="dxa"/>
              <w:bottom w:w="0" w:type="dxa"/>
              <w:right w:w="108" w:type="dxa"/>
            </w:tcMar>
            <w:vAlign w:val="center"/>
          </w:tcPr>
          <w:p w14:paraId="1B65758B" w14:textId="77777777" w:rsidR="00052475" w:rsidRDefault="00217E43">
            <w:pPr>
              <w:jc w:val="center"/>
              <w:rPr>
                <w:rFonts w:ascii="宋体" w:eastAsia="宋体" w:hAnsi="宋体"/>
                <w:sz w:val="18"/>
                <w:szCs w:val="18"/>
              </w:rPr>
            </w:pPr>
            <w:r>
              <w:rPr>
                <w:rFonts w:ascii="宋体" w:hAnsi="宋体" w:cs="Helvetica" w:hint="eastAsia"/>
                <w:kern w:val="0"/>
                <w:sz w:val="18"/>
                <w:szCs w:val="18"/>
              </w:rPr>
              <w:t>固定收益类资产及现金类资产比例为</w:t>
            </w:r>
            <w:r>
              <w:rPr>
                <w:rFonts w:ascii="宋体" w:hAnsi="宋体" w:cs="Helvetica"/>
                <w:kern w:val="0"/>
                <w:sz w:val="18"/>
                <w:szCs w:val="18"/>
              </w:rPr>
              <w:t xml:space="preserve"> 95%-100%，权益类资产及其他符合监管</w:t>
            </w:r>
            <w:r>
              <w:rPr>
                <w:rFonts w:ascii="宋体" w:hAnsi="宋体" w:cs="Helvetica" w:hint="eastAsia"/>
                <w:kern w:val="0"/>
                <w:sz w:val="18"/>
                <w:szCs w:val="18"/>
              </w:rPr>
              <w:t>要求的资产比例为</w:t>
            </w:r>
            <w:r>
              <w:rPr>
                <w:rFonts w:ascii="宋体" w:hAnsi="宋体" w:cs="Helvetica"/>
                <w:kern w:val="0"/>
                <w:sz w:val="18"/>
                <w:szCs w:val="18"/>
              </w:rPr>
              <w:t>0%-5%。</w:t>
            </w:r>
          </w:p>
        </w:tc>
        <w:tc>
          <w:tcPr>
            <w:tcW w:w="1753" w:type="pct"/>
            <w:vMerge/>
            <w:tcMar>
              <w:top w:w="0" w:type="dxa"/>
              <w:left w:w="108" w:type="dxa"/>
              <w:bottom w:w="0" w:type="dxa"/>
              <w:right w:w="108" w:type="dxa"/>
            </w:tcMar>
            <w:vAlign w:val="center"/>
          </w:tcPr>
          <w:p w14:paraId="786855DF" w14:textId="77777777" w:rsidR="00052475" w:rsidRDefault="00052475">
            <w:pPr>
              <w:ind w:firstLineChars="200" w:firstLine="360"/>
              <w:rPr>
                <w:rFonts w:ascii="宋体" w:eastAsia="宋体" w:hAnsi="宋体"/>
                <w:sz w:val="18"/>
                <w:szCs w:val="18"/>
              </w:rPr>
            </w:pPr>
          </w:p>
        </w:tc>
      </w:tr>
    </w:tbl>
    <w:p w14:paraId="133743F6" w14:textId="77777777" w:rsidR="00052475" w:rsidRDefault="00217E43">
      <w:pPr>
        <w:pStyle w:val="ad"/>
        <w:snapToGrid w:val="0"/>
        <w:spacing w:line="460" w:lineRule="atLeast"/>
        <w:ind w:firstLineChars="200" w:firstLine="420"/>
        <w:rPr>
          <w:rFonts w:cs="Arial"/>
          <w:sz w:val="21"/>
          <w:szCs w:val="21"/>
        </w:rPr>
      </w:pPr>
      <w:r>
        <w:rPr>
          <w:rFonts w:cs="Arial" w:hint="eastAsia"/>
          <w:sz w:val="21"/>
          <w:szCs w:val="21"/>
        </w:rPr>
        <w:t>三、可赎回申请日和生效日</w:t>
      </w:r>
    </w:p>
    <w:tbl>
      <w:tblPr>
        <w:tblW w:w="4639" w:type="pct"/>
        <w:jc w:val="center"/>
        <w:tblBorders>
          <w:top w:val="thinThickSmallGap" w:sz="24" w:space="0" w:color="auto"/>
          <w:bottom w:val="thinThick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3"/>
        <w:gridCol w:w="1844"/>
        <w:gridCol w:w="5385"/>
        <w:gridCol w:w="2178"/>
      </w:tblGrid>
      <w:tr w:rsidR="00052475" w14:paraId="6CD4123F" w14:textId="77777777" w:rsidTr="007B4C2D">
        <w:trPr>
          <w:trHeight w:val="517"/>
          <w:jc w:val="center"/>
        </w:trPr>
        <w:tc>
          <w:tcPr>
            <w:tcW w:w="1368" w:type="pct"/>
            <w:vAlign w:val="center"/>
          </w:tcPr>
          <w:p w14:paraId="4C292935" w14:textId="77777777" w:rsidR="00052475" w:rsidRDefault="00217E43">
            <w:pPr>
              <w:pStyle w:val="ad"/>
              <w:snapToGrid w:val="0"/>
              <w:jc w:val="center"/>
              <w:rPr>
                <w:rFonts w:ascii="Arial" w:hAnsi="Arial" w:cs="Arial"/>
                <w:sz w:val="18"/>
                <w:szCs w:val="18"/>
              </w:rPr>
            </w:pPr>
            <w:r>
              <w:rPr>
                <w:rStyle w:val="ae"/>
                <w:rFonts w:cs="Arial" w:hint="eastAsia"/>
                <w:sz w:val="18"/>
                <w:szCs w:val="18"/>
              </w:rPr>
              <w:t>产品名称</w:t>
            </w:r>
          </w:p>
        </w:tc>
        <w:tc>
          <w:tcPr>
            <w:tcW w:w="712" w:type="pct"/>
            <w:vAlign w:val="center"/>
          </w:tcPr>
          <w:p w14:paraId="71D989C9" w14:textId="77777777" w:rsidR="00052475" w:rsidRDefault="00217E43">
            <w:pPr>
              <w:pStyle w:val="ad"/>
              <w:snapToGrid w:val="0"/>
              <w:spacing w:before="0" w:beforeAutospacing="0" w:after="0" w:afterAutospacing="0"/>
              <w:jc w:val="center"/>
              <w:rPr>
                <w:rFonts w:ascii="Arial" w:hAnsi="Arial" w:cs="Arial"/>
                <w:b/>
                <w:sz w:val="18"/>
                <w:szCs w:val="18"/>
              </w:rPr>
            </w:pPr>
            <w:r>
              <w:rPr>
                <w:rFonts w:ascii="Arial" w:hAnsi="Arial" w:cs="Arial" w:hint="eastAsia"/>
                <w:b/>
                <w:sz w:val="18"/>
                <w:szCs w:val="18"/>
              </w:rPr>
              <w:t>全国银行业理财信息</w:t>
            </w:r>
          </w:p>
          <w:p w14:paraId="666BCA7F" w14:textId="77777777" w:rsidR="00052475" w:rsidRDefault="00217E43">
            <w:pPr>
              <w:pStyle w:val="ad"/>
              <w:snapToGrid w:val="0"/>
              <w:spacing w:before="0" w:beforeAutospacing="0" w:after="0" w:afterAutospacing="0"/>
              <w:jc w:val="center"/>
              <w:rPr>
                <w:rFonts w:ascii="Arial" w:hAnsi="Arial" w:cs="Arial"/>
                <w:sz w:val="18"/>
                <w:szCs w:val="18"/>
              </w:rPr>
            </w:pPr>
            <w:r>
              <w:rPr>
                <w:rFonts w:ascii="Arial" w:hAnsi="Arial" w:cs="Arial" w:hint="eastAsia"/>
                <w:b/>
                <w:sz w:val="18"/>
                <w:szCs w:val="18"/>
              </w:rPr>
              <w:t>登记系统编码</w:t>
            </w:r>
          </w:p>
        </w:tc>
        <w:tc>
          <w:tcPr>
            <w:tcW w:w="2079" w:type="pct"/>
            <w:tcMar>
              <w:top w:w="0" w:type="dxa"/>
              <w:left w:w="108" w:type="dxa"/>
              <w:bottom w:w="0" w:type="dxa"/>
              <w:right w:w="108" w:type="dxa"/>
            </w:tcMar>
            <w:vAlign w:val="center"/>
          </w:tcPr>
          <w:p w14:paraId="604AAC81" w14:textId="77777777" w:rsidR="00052475" w:rsidRDefault="00217E43">
            <w:pPr>
              <w:pStyle w:val="ad"/>
              <w:snapToGrid w:val="0"/>
              <w:jc w:val="center"/>
              <w:rPr>
                <w:rFonts w:ascii="Arial" w:hAnsi="Arial" w:cs="Arial"/>
                <w:b/>
                <w:sz w:val="18"/>
                <w:szCs w:val="18"/>
              </w:rPr>
            </w:pPr>
            <w:r>
              <w:rPr>
                <w:rFonts w:ascii="Arial" w:hAnsi="Arial" w:cs="Arial" w:hint="eastAsia"/>
                <w:b/>
                <w:sz w:val="18"/>
                <w:szCs w:val="18"/>
              </w:rPr>
              <w:t>可赎回申请日</w:t>
            </w:r>
          </w:p>
        </w:tc>
        <w:tc>
          <w:tcPr>
            <w:tcW w:w="841" w:type="pct"/>
            <w:vAlign w:val="center"/>
          </w:tcPr>
          <w:p w14:paraId="6710239B" w14:textId="77777777" w:rsidR="00052475" w:rsidRDefault="00217E43">
            <w:pPr>
              <w:pStyle w:val="ad"/>
              <w:snapToGrid w:val="0"/>
              <w:jc w:val="center"/>
              <w:rPr>
                <w:rFonts w:ascii="Arial" w:hAnsi="Arial" w:cs="Arial"/>
                <w:b/>
                <w:sz w:val="18"/>
                <w:szCs w:val="18"/>
              </w:rPr>
            </w:pPr>
            <w:r>
              <w:rPr>
                <w:rFonts w:ascii="Arial" w:hAnsi="Arial" w:cs="Arial" w:hint="eastAsia"/>
                <w:b/>
                <w:sz w:val="18"/>
                <w:szCs w:val="18"/>
              </w:rPr>
              <w:t>生效日</w:t>
            </w:r>
          </w:p>
        </w:tc>
      </w:tr>
      <w:tr w:rsidR="00052475" w14:paraId="762C9BF2" w14:textId="77777777" w:rsidTr="007B4C2D">
        <w:trPr>
          <w:trHeight w:val="633"/>
          <w:jc w:val="center"/>
        </w:trPr>
        <w:tc>
          <w:tcPr>
            <w:tcW w:w="1368" w:type="pct"/>
            <w:vAlign w:val="center"/>
          </w:tcPr>
          <w:p w14:paraId="740F367B" w14:textId="77777777" w:rsidR="00052475" w:rsidRDefault="00217E43">
            <w:pPr>
              <w:jc w:val="center"/>
              <w:rPr>
                <w:rFonts w:ascii="宋体" w:eastAsia="宋体" w:hAnsi="宋体"/>
                <w:sz w:val="18"/>
                <w:szCs w:val="18"/>
              </w:rPr>
            </w:pPr>
            <w:r>
              <w:rPr>
                <w:rFonts w:ascii="宋体" w:hAnsi="宋体" w:cs="Helvetica" w:hint="eastAsia"/>
                <w:kern w:val="0"/>
                <w:sz w:val="18"/>
                <w:szCs w:val="18"/>
              </w:rPr>
              <w:t>建信理财龙鑫固收类最低持有1年产品第4期</w:t>
            </w:r>
          </w:p>
        </w:tc>
        <w:tc>
          <w:tcPr>
            <w:tcW w:w="712" w:type="pct"/>
            <w:vAlign w:val="center"/>
          </w:tcPr>
          <w:p w14:paraId="4DEEA817" w14:textId="77777777" w:rsidR="00052475" w:rsidRDefault="00217E43">
            <w:pPr>
              <w:spacing w:line="256" w:lineRule="auto"/>
              <w:jc w:val="center"/>
              <w:rPr>
                <w:rFonts w:ascii="宋体" w:hAnsi="宋体"/>
                <w:sz w:val="18"/>
                <w:szCs w:val="18"/>
              </w:rPr>
            </w:pPr>
            <w:r>
              <w:rPr>
                <w:rFonts w:ascii="宋体" w:hAnsi="宋体"/>
                <w:sz w:val="18"/>
                <w:szCs w:val="18"/>
              </w:rPr>
              <w:t>Z7000725000118</w:t>
            </w:r>
          </w:p>
        </w:tc>
        <w:tc>
          <w:tcPr>
            <w:tcW w:w="2079" w:type="pct"/>
            <w:tcMar>
              <w:top w:w="0" w:type="dxa"/>
              <w:left w:w="108" w:type="dxa"/>
              <w:bottom w:w="0" w:type="dxa"/>
              <w:right w:w="108" w:type="dxa"/>
            </w:tcMar>
            <w:vAlign w:val="center"/>
          </w:tcPr>
          <w:p w14:paraId="5E036C78" w14:textId="3A018FE6" w:rsidR="00052475" w:rsidRDefault="00217E43">
            <w:pPr>
              <w:pStyle w:val="ad"/>
              <w:snapToGrid w:val="0"/>
              <w:jc w:val="center"/>
              <w:rPr>
                <w:rFonts w:eastAsiaTheme="minorEastAsia" w:cstheme="minorBidi"/>
                <w:kern w:val="2"/>
                <w:sz w:val="18"/>
                <w:szCs w:val="18"/>
              </w:rPr>
            </w:pPr>
            <w:r>
              <w:rPr>
                <w:rFonts w:eastAsiaTheme="minorEastAsia" w:cstheme="minorBidi"/>
                <w:kern w:val="2"/>
                <w:sz w:val="18"/>
                <w:szCs w:val="18"/>
              </w:rPr>
              <w:t>202</w:t>
            </w:r>
            <w:r>
              <w:rPr>
                <w:rFonts w:eastAsiaTheme="minorEastAsia" w:cstheme="minorBidi" w:hint="eastAsia"/>
                <w:kern w:val="2"/>
                <w:sz w:val="18"/>
                <w:szCs w:val="18"/>
              </w:rPr>
              <w:t>6年3月17日</w:t>
            </w:r>
            <w:r>
              <w:rPr>
                <w:rFonts w:eastAsiaTheme="minorEastAsia" w:cstheme="minorBidi"/>
                <w:kern w:val="2"/>
                <w:sz w:val="18"/>
                <w:szCs w:val="18"/>
              </w:rPr>
              <w:t>9</w:t>
            </w:r>
            <w:r>
              <w:rPr>
                <w:rFonts w:eastAsiaTheme="minorEastAsia" w:cstheme="minorBidi" w:hint="eastAsia"/>
                <w:kern w:val="2"/>
                <w:sz w:val="18"/>
                <w:szCs w:val="18"/>
              </w:rPr>
              <w:t>:0</w:t>
            </w:r>
            <w:r>
              <w:rPr>
                <w:rFonts w:eastAsiaTheme="minorEastAsia" w:cstheme="minorBidi"/>
                <w:kern w:val="2"/>
                <w:sz w:val="18"/>
                <w:szCs w:val="18"/>
              </w:rPr>
              <w:t>0-</w:t>
            </w:r>
            <w:r w:rsidR="007B4C2D">
              <w:rPr>
                <w:rFonts w:eastAsiaTheme="minorEastAsia" w:cstheme="minorBidi"/>
                <w:kern w:val="2"/>
                <w:sz w:val="18"/>
                <w:szCs w:val="18"/>
              </w:rPr>
              <w:t>2026</w:t>
            </w:r>
            <w:r w:rsidR="007B4C2D">
              <w:rPr>
                <w:rFonts w:eastAsiaTheme="minorEastAsia" w:cstheme="minorBidi" w:hint="eastAsia"/>
                <w:kern w:val="2"/>
                <w:sz w:val="18"/>
                <w:szCs w:val="18"/>
              </w:rPr>
              <w:t>年3月1</w:t>
            </w:r>
            <w:r w:rsidR="007B4C2D">
              <w:rPr>
                <w:rFonts w:eastAsiaTheme="minorEastAsia" w:cstheme="minorBidi"/>
                <w:kern w:val="2"/>
                <w:sz w:val="18"/>
                <w:szCs w:val="18"/>
              </w:rPr>
              <w:t>8</w:t>
            </w:r>
            <w:r w:rsidR="007B4C2D">
              <w:rPr>
                <w:rFonts w:eastAsiaTheme="minorEastAsia" w:cstheme="minorBidi" w:hint="eastAsia"/>
                <w:kern w:val="2"/>
                <w:sz w:val="18"/>
                <w:szCs w:val="18"/>
              </w:rPr>
              <w:t>日</w:t>
            </w:r>
            <w:r>
              <w:rPr>
                <w:rFonts w:eastAsiaTheme="minorEastAsia" w:cstheme="minorBidi"/>
                <w:kern w:val="2"/>
                <w:sz w:val="18"/>
                <w:szCs w:val="18"/>
              </w:rPr>
              <w:t>17</w:t>
            </w:r>
            <w:r>
              <w:rPr>
                <w:rFonts w:eastAsiaTheme="minorEastAsia" w:cstheme="minorBidi" w:hint="eastAsia"/>
                <w:kern w:val="2"/>
                <w:sz w:val="18"/>
                <w:szCs w:val="18"/>
              </w:rPr>
              <w:t>:0</w:t>
            </w:r>
            <w:r>
              <w:rPr>
                <w:rFonts w:eastAsiaTheme="minorEastAsia" w:cstheme="minorBidi"/>
                <w:kern w:val="2"/>
                <w:sz w:val="18"/>
                <w:szCs w:val="18"/>
              </w:rPr>
              <w:t>0</w:t>
            </w:r>
          </w:p>
        </w:tc>
        <w:tc>
          <w:tcPr>
            <w:tcW w:w="841" w:type="pct"/>
            <w:tcMar>
              <w:top w:w="0" w:type="dxa"/>
              <w:left w:w="108" w:type="dxa"/>
              <w:bottom w:w="0" w:type="dxa"/>
              <w:right w:w="108" w:type="dxa"/>
            </w:tcMar>
            <w:vAlign w:val="center"/>
          </w:tcPr>
          <w:p w14:paraId="3DCB46E5" w14:textId="44CFEF82" w:rsidR="00052475" w:rsidRDefault="00217E43" w:rsidP="007B4C2D">
            <w:pPr>
              <w:ind w:leftChars="-52" w:left="1" w:hangingChars="61" w:hanging="110"/>
              <w:rPr>
                <w:rFonts w:ascii="宋体" w:hAnsi="宋体"/>
                <w:sz w:val="18"/>
                <w:szCs w:val="18"/>
              </w:rPr>
            </w:pPr>
            <w:r>
              <w:rPr>
                <w:rFonts w:ascii="宋体" w:hAnsi="宋体"/>
                <w:sz w:val="18"/>
                <w:szCs w:val="18"/>
              </w:rPr>
              <w:t>202</w:t>
            </w:r>
            <w:r>
              <w:rPr>
                <w:rFonts w:ascii="宋体" w:hAnsi="宋体" w:hint="eastAsia"/>
                <w:sz w:val="18"/>
                <w:szCs w:val="18"/>
              </w:rPr>
              <w:t>6年3月</w:t>
            </w:r>
            <w:r w:rsidR="007B4C2D">
              <w:rPr>
                <w:rFonts w:ascii="宋体" w:hAnsi="宋体" w:hint="eastAsia"/>
                <w:sz w:val="18"/>
                <w:szCs w:val="18"/>
              </w:rPr>
              <w:t>1</w:t>
            </w:r>
            <w:r w:rsidR="007B4C2D">
              <w:rPr>
                <w:rFonts w:ascii="宋体" w:hAnsi="宋体"/>
                <w:sz w:val="18"/>
                <w:szCs w:val="18"/>
              </w:rPr>
              <w:t>9</w:t>
            </w:r>
            <w:r>
              <w:rPr>
                <w:rFonts w:ascii="宋体" w:hAnsi="宋体" w:hint="eastAsia"/>
                <w:sz w:val="18"/>
                <w:szCs w:val="18"/>
              </w:rPr>
              <w:t>日</w:t>
            </w:r>
          </w:p>
        </w:tc>
      </w:tr>
      <w:tr w:rsidR="007B4C2D" w14:paraId="4E41A0BD" w14:textId="77777777" w:rsidTr="007B4C2D">
        <w:trPr>
          <w:trHeight w:val="633"/>
          <w:jc w:val="center"/>
        </w:trPr>
        <w:tc>
          <w:tcPr>
            <w:tcW w:w="1368" w:type="pct"/>
            <w:vAlign w:val="center"/>
          </w:tcPr>
          <w:p w14:paraId="118CCE34" w14:textId="77777777" w:rsidR="007B4C2D" w:rsidRDefault="007B4C2D" w:rsidP="007B4C2D">
            <w:pPr>
              <w:jc w:val="center"/>
              <w:rPr>
                <w:rFonts w:ascii="宋体" w:eastAsia="宋体" w:hAnsi="宋体"/>
                <w:sz w:val="18"/>
                <w:szCs w:val="18"/>
              </w:rPr>
            </w:pPr>
            <w:r>
              <w:rPr>
                <w:rFonts w:ascii="宋体" w:hAnsi="宋体" w:cs="Helvetica" w:hint="eastAsia"/>
                <w:kern w:val="0"/>
                <w:sz w:val="18"/>
                <w:szCs w:val="18"/>
              </w:rPr>
              <w:t>建信理财“龙鑫”固收类最低持有120天开放式理财产品</w:t>
            </w:r>
          </w:p>
        </w:tc>
        <w:tc>
          <w:tcPr>
            <w:tcW w:w="712" w:type="pct"/>
            <w:vAlign w:val="center"/>
          </w:tcPr>
          <w:p w14:paraId="13F0B620" w14:textId="77777777" w:rsidR="007B4C2D" w:rsidRDefault="007B4C2D" w:rsidP="007B4C2D">
            <w:pPr>
              <w:spacing w:line="256" w:lineRule="auto"/>
              <w:jc w:val="center"/>
              <w:rPr>
                <w:rFonts w:ascii="宋体" w:hAnsi="宋体"/>
                <w:sz w:val="18"/>
                <w:szCs w:val="18"/>
              </w:rPr>
            </w:pPr>
            <w:r>
              <w:rPr>
                <w:rFonts w:ascii="宋体" w:hAnsi="宋体" w:hint="eastAsia"/>
                <w:sz w:val="18"/>
                <w:szCs w:val="18"/>
              </w:rPr>
              <w:t>Z</w:t>
            </w:r>
            <w:r>
              <w:rPr>
                <w:rFonts w:ascii="宋体" w:hAnsi="宋体"/>
                <w:sz w:val="18"/>
                <w:szCs w:val="18"/>
              </w:rPr>
              <w:t>7000720000782</w:t>
            </w:r>
          </w:p>
        </w:tc>
        <w:tc>
          <w:tcPr>
            <w:tcW w:w="2079" w:type="pct"/>
            <w:tcMar>
              <w:top w:w="0" w:type="dxa"/>
              <w:left w:w="108" w:type="dxa"/>
              <w:bottom w:w="0" w:type="dxa"/>
              <w:right w:w="108" w:type="dxa"/>
            </w:tcMar>
            <w:vAlign w:val="center"/>
          </w:tcPr>
          <w:p w14:paraId="628B1893" w14:textId="7E594405" w:rsidR="007B4C2D" w:rsidRDefault="007B4C2D" w:rsidP="007B4C2D">
            <w:pPr>
              <w:snapToGrid w:val="0"/>
              <w:jc w:val="center"/>
              <w:rPr>
                <w:rFonts w:ascii="宋体" w:hAnsi="宋体"/>
                <w:sz w:val="18"/>
                <w:szCs w:val="18"/>
              </w:rPr>
            </w:pPr>
            <w:r>
              <w:rPr>
                <w:rFonts w:ascii="宋体" w:hAnsi="宋体"/>
                <w:sz w:val="18"/>
                <w:szCs w:val="18"/>
              </w:rPr>
              <w:t>202</w:t>
            </w:r>
            <w:r>
              <w:rPr>
                <w:rFonts w:ascii="宋体" w:hAnsi="宋体" w:hint="eastAsia"/>
                <w:sz w:val="18"/>
                <w:szCs w:val="18"/>
              </w:rPr>
              <w:t>6年3月17日</w:t>
            </w:r>
            <w:r>
              <w:rPr>
                <w:rFonts w:ascii="宋体" w:hAnsi="宋体"/>
                <w:sz w:val="18"/>
                <w:szCs w:val="18"/>
              </w:rPr>
              <w:t>9</w:t>
            </w:r>
            <w:r>
              <w:rPr>
                <w:rFonts w:ascii="宋体" w:hAnsi="宋体" w:hint="eastAsia"/>
                <w:sz w:val="18"/>
                <w:szCs w:val="18"/>
              </w:rPr>
              <w:t>:0</w:t>
            </w:r>
            <w:r>
              <w:rPr>
                <w:rFonts w:ascii="宋体" w:hAnsi="宋体"/>
                <w:sz w:val="18"/>
                <w:szCs w:val="18"/>
              </w:rPr>
              <w:t>0-</w:t>
            </w:r>
            <w:r>
              <w:rPr>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1</w:t>
            </w:r>
            <w:r>
              <w:rPr>
                <w:sz w:val="18"/>
                <w:szCs w:val="18"/>
              </w:rPr>
              <w:t>8</w:t>
            </w:r>
            <w:r>
              <w:rPr>
                <w:rFonts w:hint="eastAsia"/>
                <w:sz w:val="18"/>
                <w:szCs w:val="18"/>
              </w:rPr>
              <w:t>日</w:t>
            </w:r>
            <w:r>
              <w:rPr>
                <w:rFonts w:ascii="宋体" w:hAnsi="宋体"/>
                <w:sz w:val="18"/>
                <w:szCs w:val="18"/>
              </w:rPr>
              <w:t>17</w:t>
            </w:r>
            <w:r>
              <w:rPr>
                <w:rFonts w:ascii="宋体" w:hAnsi="宋体" w:hint="eastAsia"/>
                <w:sz w:val="18"/>
                <w:szCs w:val="18"/>
              </w:rPr>
              <w:t>:0</w:t>
            </w:r>
            <w:r>
              <w:rPr>
                <w:rFonts w:ascii="宋体" w:hAnsi="宋体"/>
                <w:sz w:val="18"/>
                <w:szCs w:val="18"/>
              </w:rPr>
              <w:t>0</w:t>
            </w:r>
          </w:p>
        </w:tc>
        <w:tc>
          <w:tcPr>
            <w:tcW w:w="841" w:type="pct"/>
            <w:tcMar>
              <w:top w:w="0" w:type="dxa"/>
              <w:left w:w="108" w:type="dxa"/>
              <w:bottom w:w="0" w:type="dxa"/>
              <w:right w:w="108" w:type="dxa"/>
            </w:tcMar>
            <w:vAlign w:val="center"/>
          </w:tcPr>
          <w:p w14:paraId="35DDA0FB" w14:textId="501BDE0B" w:rsidR="007B4C2D" w:rsidRDefault="007B4C2D" w:rsidP="007B4C2D">
            <w:pPr>
              <w:ind w:leftChars="-52" w:left="1" w:hangingChars="61" w:hanging="110"/>
              <w:rPr>
                <w:rFonts w:ascii="宋体" w:hAnsi="宋体"/>
                <w:sz w:val="18"/>
                <w:szCs w:val="18"/>
              </w:rPr>
            </w:pPr>
            <w:r>
              <w:rPr>
                <w:rFonts w:ascii="宋体" w:hAnsi="宋体"/>
                <w:sz w:val="18"/>
                <w:szCs w:val="18"/>
              </w:rPr>
              <w:t>202</w:t>
            </w:r>
            <w:r>
              <w:rPr>
                <w:rFonts w:ascii="宋体" w:hAnsi="宋体" w:hint="eastAsia"/>
                <w:sz w:val="18"/>
                <w:szCs w:val="18"/>
              </w:rPr>
              <w:t>6年3月1</w:t>
            </w:r>
            <w:r>
              <w:rPr>
                <w:rFonts w:ascii="宋体" w:hAnsi="宋体"/>
                <w:sz w:val="18"/>
                <w:szCs w:val="18"/>
              </w:rPr>
              <w:t>9</w:t>
            </w:r>
            <w:r>
              <w:rPr>
                <w:rFonts w:ascii="宋体" w:hAnsi="宋体" w:hint="eastAsia"/>
                <w:sz w:val="18"/>
                <w:szCs w:val="18"/>
              </w:rPr>
              <w:t>日</w:t>
            </w:r>
          </w:p>
        </w:tc>
      </w:tr>
      <w:tr w:rsidR="007B4C2D" w14:paraId="0422D1FB" w14:textId="77777777" w:rsidTr="007B4C2D">
        <w:trPr>
          <w:trHeight w:val="633"/>
          <w:jc w:val="center"/>
        </w:trPr>
        <w:tc>
          <w:tcPr>
            <w:tcW w:w="1368" w:type="pct"/>
            <w:vAlign w:val="center"/>
          </w:tcPr>
          <w:p w14:paraId="60C7FD5D" w14:textId="77777777" w:rsidR="007B4C2D" w:rsidRDefault="007B4C2D" w:rsidP="007B4C2D">
            <w:pPr>
              <w:jc w:val="center"/>
              <w:rPr>
                <w:rFonts w:ascii="宋体" w:eastAsia="宋体" w:hAnsi="宋体"/>
                <w:sz w:val="18"/>
                <w:szCs w:val="18"/>
              </w:rPr>
            </w:pPr>
            <w:r>
              <w:rPr>
                <w:rFonts w:ascii="宋体" w:eastAsia="宋体" w:hAnsi="宋体" w:hint="eastAsia"/>
                <w:sz w:val="18"/>
                <w:szCs w:val="18"/>
              </w:rPr>
              <w:t>建信理财“龙鑫”（新客专享）固收类最低持有100天开放式理财产品</w:t>
            </w:r>
          </w:p>
        </w:tc>
        <w:tc>
          <w:tcPr>
            <w:tcW w:w="712" w:type="pct"/>
            <w:vAlign w:val="center"/>
          </w:tcPr>
          <w:p w14:paraId="388BDE82" w14:textId="77777777" w:rsidR="007B4C2D" w:rsidRDefault="007B4C2D" w:rsidP="007B4C2D">
            <w:pPr>
              <w:spacing w:line="256" w:lineRule="auto"/>
              <w:jc w:val="center"/>
              <w:rPr>
                <w:rFonts w:ascii="宋体" w:hAnsi="宋体"/>
                <w:sz w:val="18"/>
                <w:szCs w:val="18"/>
              </w:rPr>
            </w:pPr>
            <w:r>
              <w:rPr>
                <w:rFonts w:ascii="宋体" w:hAnsi="宋体" w:hint="eastAsia"/>
                <w:sz w:val="18"/>
                <w:szCs w:val="18"/>
              </w:rPr>
              <w:t>Z</w:t>
            </w:r>
            <w:r>
              <w:rPr>
                <w:rFonts w:ascii="宋体" w:hAnsi="宋体"/>
                <w:sz w:val="18"/>
                <w:szCs w:val="18"/>
              </w:rPr>
              <w:t>7000720000733</w:t>
            </w:r>
          </w:p>
        </w:tc>
        <w:tc>
          <w:tcPr>
            <w:tcW w:w="2079" w:type="pct"/>
            <w:tcMar>
              <w:top w:w="0" w:type="dxa"/>
              <w:left w:w="108" w:type="dxa"/>
              <w:bottom w:w="0" w:type="dxa"/>
              <w:right w:w="108" w:type="dxa"/>
            </w:tcMar>
            <w:vAlign w:val="center"/>
          </w:tcPr>
          <w:p w14:paraId="1EA75A66" w14:textId="32FDDE4D" w:rsidR="007B4C2D" w:rsidRDefault="007B4C2D" w:rsidP="007B4C2D">
            <w:pPr>
              <w:snapToGrid w:val="0"/>
              <w:jc w:val="center"/>
              <w:rPr>
                <w:rFonts w:ascii="宋体" w:hAnsi="宋体"/>
                <w:sz w:val="18"/>
                <w:szCs w:val="18"/>
              </w:rPr>
            </w:pPr>
            <w:r>
              <w:rPr>
                <w:rFonts w:ascii="宋体" w:hAnsi="宋体"/>
                <w:sz w:val="18"/>
                <w:szCs w:val="18"/>
              </w:rPr>
              <w:t>202</w:t>
            </w:r>
            <w:r>
              <w:rPr>
                <w:rFonts w:ascii="宋体" w:hAnsi="宋体" w:hint="eastAsia"/>
                <w:sz w:val="18"/>
                <w:szCs w:val="18"/>
              </w:rPr>
              <w:t>6年3月17日</w:t>
            </w:r>
            <w:r>
              <w:rPr>
                <w:rFonts w:ascii="宋体" w:hAnsi="宋体"/>
                <w:sz w:val="18"/>
                <w:szCs w:val="18"/>
              </w:rPr>
              <w:t>9</w:t>
            </w:r>
            <w:r>
              <w:rPr>
                <w:rFonts w:ascii="宋体" w:hAnsi="宋体" w:hint="eastAsia"/>
                <w:sz w:val="18"/>
                <w:szCs w:val="18"/>
              </w:rPr>
              <w:t>:0</w:t>
            </w:r>
            <w:r>
              <w:rPr>
                <w:rFonts w:ascii="宋体" w:hAnsi="宋体"/>
                <w:sz w:val="18"/>
                <w:szCs w:val="18"/>
              </w:rPr>
              <w:t>0-</w:t>
            </w:r>
            <w:r>
              <w:rPr>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1</w:t>
            </w:r>
            <w:r>
              <w:rPr>
                <w:sz w:val="18"/>
                <w:szCs w:val="18"/>
              </w:rPr>
              <w:t>8</w:t>
            </w:r>
            <w:r>
              <w:rPr>
                <w:rFonts w:hint="eastAsia"/>
                <w:sz w:val="18"/>
                <w:szCs w:val="18"/>
              </w:rPr>
              <w:t>日</w:t>
            </w:r>
            <w:r>
              <w:rPr>
                <w:rFonts w:ascii="宋体" w:hAnsi="宋体"/>
                <w:sz w:val="18"/>
                <w:szCs w:val="18"/>
              </w:rPr>
              <w:t>17</w:t>
            </w:r>
            <w:r>
              <w:rPr>
                <w:rFonts w:ascii="宋体" w:hAnsi="宋体" w:hint="eastAsia"/>
                <w:sz w:val="18"/>
                <w:szCs w:val="18"/>
              </w:rPr>
              <w:t>:0</w:t>
            </w:r>
            <w:r>
              <w:rPr>
                <w:rFonts w:ascii="宋体" w:hAnsi="宋体"/>
                <w:sz w:val="18"/>
                <w:szCs w:val="18"/>
              </w:rPr>
              <w:t>0</w:t>
            </w:r>
          </w:p>
        </w:tc>
        <w:tc>
          <w:tcPr>
            <w:tcW w:w="841" w:type="pct"/>
            <w:tcMar>
              <w:top w:w="0" w:type="dxa"/>
              <w:left w:w="108" w:type="dxa"/>
              <w:bottom w:w="0" w:type="dxa"/>
              <w:right w:w="108" w:type="dxa"/>
            </w:tcMar>
            <w:vAlign w:val="center"/>
          </w:tcPr>
          <w:p w14:paraId="7C1DBFA3" w14:textId="27C2BB74" w:rsidR="007B4C2D" w:rsidRDefault="007B4C2D" w:rsidP="007B4C2D">
            <w:pPr>
              <w:ind w:leftChars="-52" w:left="1" w:hangingChars="61" w:hanging="110"/>
              <w:rPr>
                <w:rFonts w:ascii="宋体" w:hAnsi="宋体"/>
                <w:sz w:val="18"/>
                <w:szCs w:val="18"/>
              </w:rPr>
            </w:pPr>
            <w:r>
              <w:rPr>
                <w:rFonts w:ascii="宋体" w:hAnsi="宋体"/>
                <w:sz w:val="18"/>
                <w:szCs w:val="18"/>
              </w:rPr>
              <w:t>202</w:t>
            </w:r>
            <w:r>
              <w:rPr>
                <w:rFonts w:ascii="宋体" w:hAnsi="宋体" w:hint="eastAsia"/>
                <w:sz w:val="18"/>
                <w:szCs w:val="18"/>
              </w:rPr>
              <w:t>6年3月1</w:t>
            </w:r>
            <w:r>
              <w:rPr>
                <w:rFonts w:ascii="宋体" w:hAnsi="宋体"/>
                <w:sz w:val="18"/>
                <w:szCs w:val="18"/>
              </w:rPr>
              <w:t>9</w:t>
            </w:r>
            <w:r>
              <w:rPr>
                <w:rFonts w:ascii="宋体" w:hAnsi="宋体" w:hint="eastAsia"/>
                <w:sz w:val="18"/>
                <w:szCs w:val="18"/>
              </w:rPr>
              <w:t>日</w:t>
            </w:r>
          </w:p>
        </w:tc>
      </w:tr>
      <w:tr w:rsidR="007B4C2D" w14:paraId="4B94EA9C" w14:textId="77777777" w:rsidTr="007B4C2D">
        <w:trPr>
          <w:trHeight w:val="633"/>
          <w:jc w:val="center"/>
        </w:trPr>
        <w:tc>
          <w:tcPr>
            <w:tcW w:w="1368" w:type="pct"/>
            <w:vAlign w:val="center"/>
          </w:tcPr>
          <w:p w14:paraId="2060AF6B" w14:textId="77777777" w:rsidR="007B4C2D" w:rsidRDefault="007B4C2D" w:rsidP="007B4C2D">
            <w:pPr>
              <w:widowControl/>
              <w:jc w:val="center"/>
              <w:rPr>
                <w:rFonts w:ascii="宋体" w:eastAsia="宋体" w:hAnsi="宋体"/>
                <w:sz w:val="18"/>
                <w:szCs w:val="18"/>
              </w:rPr>
            </w:pPr>
            <w:r>
              <w:rPr>
                <w:rFonts w:ascii="宋体" w:hAnsi="宋体" w:cs="Helvetica" w:hint="eastAsia"/>
                <w:kern w:val="0"/>
                <w:sz w:val="18"/>
                <w:szCs w:val="18"/>
              </w:rPr>
              <w:t>建信理财“开鑫”最低持有90天开放理财产品第1期</w:t>
            </w:r>
          </w:p>
        </w:tc>
        <w:tc>
          <w:tcPr>
            <w:tcW w:w="712" w:type="pct"/>
            <w:vAlign w:val="center"/>
          </w:tcPr>
          <w:p w14:paraId="06395869" w14:textId="77777777" w:rsidR="007B4C2D" w:rsidRDefault="007B4C2D" w:rsidP="007B4C2D">
            <w:pPr>
              <w:spacing w:line="256" w:lineRule="auto"/>
              <w:jc w:val="center"/>
              <w:rPr>
                <w:rFonts w:ascii="宋体" w:hAnsi="宋体"/>
                <w:sz w:val="18"/>
                <w:szCs w:val="18"/>
              </w:rPr>
            </w:pPr>
            <w:r>
              <w:rPr>
                <w:rFonts w:ascii="宋体" w:hAnsi="宋体"/>
                <w:sz w:val="18"/>
                <w:szCs w:val="18"/>
              </w:rPr>
              <w:t>Z7000720000159</w:t>
            </w:r>
          </w:p>
        </w:tc>
        <w:tc>
          <w:tcPr>
            <w:tcW w:w="2079" w:type="pct"/>
            <w:tcMar>
              <w:top w:w="0" w:type="dxa"/>
              <w:left w:w="108" w:type="dxa"/>
              <w:bottom w:w="0" w:type="dxa"/>
              <w:right w:w="108" w:type="dxa"/>
            </w:tcMar>
            <w:vAlign w:val="center"/>
          </w:tcPr>
          <w:p w14:paraId="1802E03F" w14:textId="7284D51F" w:rsidR="007B4C2D" w:rsidRDefault="007B4C2D" w:rsidP="007B4C2D">
            <w:pPr>
              <w:snapToGrid w:val="0"/>
              <w:jc w:val="center"/>
              <w:rPr>
                <w:rFonts w:ascii="宋体" w:hAnsi="宋体"/>
                <w:sz w:val="18"/>
                <w:szCs w:val="18"/>
              </w:rPr>
            </w:pPr>
            <w:r>
              <w:rPr>
                <w:rFonts w:ascii="宋体" w:hAnsi="宋体"/>
                <w:sz w:val="18"/>
                <w:szCs w:val="18"/>
              </w:rPr>
              <w:t>202</w:t>
            </w:r>
            <w:r>
              <w:rPr>
                <w:rFonts w:ascii="宋体" w:hAnsi="宋体" w:hint="eastAsia"/>
                <w:sz w:val="18"/>
                <w:szCs w:val="18"/>
              </w:rPr>
              <w:t>6年3月17日</w:t>
            </w:r>
            <w:r>
              <w:rPr>
                <w:rFonts w:ascii="宋体" w:hAnsi="宋体"/>
                <w:sz w:val="18"/>
                <w:szCs w:val="18"/>
              </w:rPr>
              <w:t>9</w:t>
            </w:r>
            <w:r>
              <w:rPr>
                <w:rFonts w:ascii="宋体" w:hAnsi="宋体" w:hint="eastAsia"/>
                <w:sz w:val="18"/>
                <w:szCs w:val="18"/>
              </w:rPr>
              <w:t>:0</w:t>
            </w:r>
            <w:r>
              <w:rPr>
                <w:rFonts w:ascii="宋体" w:hAnsi="宋体"/>
                <w:sz w:val="18"/>
                <w:szCs w:val="18"/>
              </w:rPr>
              <w:t>0-</w:t>
            </w:r>
            <w:r>
              <w:rPr>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1</w:t>
            </w:r>
            <w:r>
              <w:rPr>
                <w:sz w:val="18"/>
                <w:szCs w:val="18"/>
              </w:rPr>
              <w:t>8</w:t>
            </w:r>
            <w:r>
              <w:rPr>
                <w:rFonts w:hint="eastAsia"/>
                <w:sz w:val="18"/>
                <w:szCs w:val="18"/>
              </w:rPr>
              <w:t>日</w:t>
            </w:r>
            <w:r>
              <w:rPr>
                <w:rFonts w:ascii="宋体" w:hAnsi="宋体"/>
                <w:sz w:val="18"/>
                <w:szCs w:val="18"/>
              </w:rPr>
              <w:t>17</w:t>
            </w:r>
            <w:r>
              <w:rPr>
                <w:rFonts w:ascii="宋体" w:hAnsi="宋体" w:hint="eastAsia"/>
                <w:sz w:val="18"/>
                <w:szCs w:val="18"/>
              </w:rPr>
              <w:t>:0</w:t>
            </w:r>
            <w:r>
              <w:rPr>
                <w:rFonts w:ascii="宋体" w:hAnsi="宋体"/>
                <w:sz w:val="18"/>
                <w:szCs w:val="18"/>
              </w:rPr>
              <w:t>0</w:t>
            </w:r>
          </w:p>
        </w:tc>
        <w:tc>
          <w:tcPr>
            <w:tcW w:w="841" w:type="pct"/>
            <w:tcMar>
              <w:top w:w="0" w:type="dxa"/>
              <w:left w:w="108" w:type="dxa"/>
              <w:bottom w:w="0" w:type="dxa"/>
              <w:right w:w="108" w:type="dxa"/>
            </w:tcMar>
            <w:vAlign w:val="center"/>
          </w:tcPr>
          <w:p w14:paraId="1185B7D1" w14:textId="72E5B3C1" w:rsidR="007B4C2D" w:rsidRDefault="007B4C2D" w:rsidP="007B4C2D">
            <w:pPr>
              <w:ind w:leftChars="-52" w:left="1" w:hangingChars="61" w:hanging="110"/>
              <w:rPr>
                <w:rFonts w:ascii="宋体" w:hAnsi="宋体"/>
                <w:sz w:val="18"/>
                <w:szCs w:val="18"/>
              </w:rPr>
            </w:pPr>
            <w:r>
              <w:rPr>
                <w:rFonts w:ascii="宋体" w:hAnsi="宋体"/>
                <w:sz w:val="18"/>
                <w:szCs w:val="18"/>
              </w:rPr>
              <w:t>202</w:t>
            </w:r>
            <w:r>
              <w:rPr>
                <w:rFonts w:ascii="宋体" w:hAnsi="宋体" w:hint="eastAsia"/>
                <w:sz w:val="18"/>
                <w:szCs w:val="18"/>
              </w:rPr>
              <w:t>6年3月1</w:t>
            </w:r>
            <w:r>
              <w:rPr>
                <w:rFonts w:ascii="宋体" w:hAnsi="宋体"/>
                <w:sz w:val="18"/>
                <w:szCs w:val="18"/>
              </w:rPr>
              <w:t>9</w:t>
            </w:r>
            <w:r>
              <w:rPr>
                <w:rFonts w:ascii="宋体" w:hAnsi="宋体" w:hint="eastAsia"/>
                <w:sz w:val="18"/>
                <w:szCs w:val="18"/>
              </w:rPr>
              <w:t>日</w:t>
            </w:r>
          </w:p>
        </w:tc>
      </w:tr>
    </w:tbl>
    <w:p w14:paraId="255D1786" w14:textId="77777777" w:rsidR="00052475" w:rsidRDefault="00217E43">
      <w:pPr>
        <w:pStyle w:val="ad"/>
        <w:spacing w:line="276" w:lineRule="auto"/>
        <w:ind w:firstLine="420"/>
        <w:rPr>
          <w:rFonts w:cs="Arial"/>
          <w:sz w:val="21"/>
          <w:szCs w:val="21"/>
        </w:rPr>
      </w:pPr>
      <w:r>
        <w:rPr>
          <w:rFonts w:cs="Arial" w:hint="eastAsia"/>
          <w:sz w:val="21"/>
          <w:szCs w:val="21"/>
        </w:rPr>
        <w:lastRenderedPageBreak/>
        <w:t>如您不同意相关调整，可于公告中列示的可赎回申请日</w:t>
      </w:r>
      <w:r>
        <w:rPr>
          <w:rFonts w:cs="Arial" w:hint="eastAsia"/>
          <w:bCs/>
          <w:sz w:val="21"/>
          <w:szCs w:val="21"/>
        </w:rPr>
        <w:t>的开放时间内</w:t>
      </w:r>
      <w:r>
        <w:rPr>
          <w:rFonts w:cs="Arial" w:hint="eastAsia"/>
          <w:sz w:val="21"/>
          <w:szCs w:val="21"/>
        </w:rPr>
        <w:t>提出赎回申请。本公告未提及事宜，按原产品说明书和风险揭示书的约定执行。</w:t>
      </w:r>
    </w:p>
    <w:p w14:paraId="4F4597EB" w14:textId="77777777" w:rsidR="00052475" w:rsidRDefault="00217E43">
      <w:pPr>
        <w:pStyle w:val="ad"/>
        <w:spacing w:line="276" w:lineRule="auto"/>
        <w:ind w:firstLine="420"/>
        <w:rPr>
          <w:rFonts w:cs="Arial"/>
          <w:sz w:val="21"/>
          <w:szCs w:val="21"/>
        </w:rPr>
      </w:pPr>
      <w:r>
        <w:rPr>
          <w:rFonts w:cs="Arial" w:hint="eastAsia"/>
          <w:sz w:val="21"/>
          <w:szCs w:val="21"/>
        </w:rPr>
        <w:t>建信理财有限责任公司将本着勤勉尽职的原则持续为您提供专业化理财服务。</w:t>
      </w:r>
    </w:p>
    <w:p w14:paraId="62D6CB1F" w14:textId="77777777" w:rsidR="00052475" w:rsidRDefault="00217E43">
      <w:pPr>
        <w:pStyle w:val="ad"/>
        <w:snapToGrid w:val="0"/>
        <w:spacing w:line="276" w:lineRule="auto"/>
        <w:ind w:firstLine="420"/>
        <w:rPr>
          <w:rFonts w:ascii="微软雅黑" w:eastAsia="微软雅黑" w:hAnsi="微软雅黑" w:cs="Arial"/>
          <w:sz w:val="21"/>
          <w:szCs w:val="21"/>
        </w:rPr>
      </w:pPr>
      <w:r>
        <w:rPr>
          <w:rFonts w:ascii="微软雅黑" w:eastAsia="微软雅黑" w:hAnsi="微软雅黑" w:cs="Arial" w:hint="eastAsia"/>
          <w:sz w:val="21"/>
          <w:szCs w:val="21"/>
        </w:rPr>
        <w:t> </w:t>
      </w:r>
      <w:r>
        <w:rPr>
          <w:rFonts w:cs="Arial" w:hint="eastAsia"/>
          <w:sz w:val="21"/>
          <w:szCs w:val="21"/>
        </w:rPr>
        <w:t>特此公告。</w:t>
      </w:r>
    </w:p>
    <w:p w14:paraId="5BF197F5" w14:textId="77777777" w:rsidR="00052475" w:rsidRDefault="00217E43">
      <w:pPr>
        <w:pStyle w:val="ad"/>
        <w:snapToGrid w:val="0"/>
        <w:spacing w:line="460" w:lineRule="atLeast"/>
        <w:ind w:firstLine="420"/>
        <w:rPr>
          <w:rFonts w:ascii="微软雅黑" w:eastAsia="微软雅黑" w:hAnsi="微软雅黑" w:cs="Arial"/>
          <w:sz w:val="21"/>
          <w:szCs w:val="21"/>
        </w:rPr>
      </w:pPr>
      <w:r>
        <w:rPr>
          <w:rFonts w:cs="Arial" w:hint="eastAsia"/>
          <w:sz w:val="21"/>
          <w:szCs w:val="21"/>
        </w:rPr>
        <w:t> </w:t>
      </w:r>
    </w:p>
    <w:p w14:paraId="17D77229" w14:textId="77777777" w:rsidR="00052475" w:rsidRDefault="00217E43">
      <w:pPr>
        <w:pStyle w:val="ad"/>
        <w:snapToGrid w:val="0"/>
        <w:spacing w:before="0" w:beforeAutospacing="0" w:after="0" w:afterAutospacing="0" w:line="460" w:lineRule="atLeast"/>
        <w:ind w:firstLine="420"/>
        <w:jc w:val="right"/>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建信理财有限责任公司</w:t>
      </w:r>
    </w:p>
    <w:p w14:paraId="5DEF0291" w14:textId="77777777" w:rsidR="00052475" w:rsidRDefault="00217E43">
      <w:pPr>
        <w:pStyle w:val="ad"/>
        <w:snapToGrid w:val="0"/>
        <w:spacing w:before="0" w:beforeAutospacing="0" w:after="0" w:afterAutospacing="0" w:line="460" w:lineRule="atLeast"/>
        <w:ind w:firstLine="420"/>
        <w:jc w:val="right"/>
        <w:rPr>
          <w:rFonts w:asciiTheme="minorEastAsia" w:eastAsiaTheme="minorEastAsia" w:hAnsiTheme="minorEastAsia" w:cs="Arial"/>
          <w:sz w:val="21"/>
          <w:szCs w:val="21"/>
        </w:rPr>
      </w:pPr>
      <w:r>
        <w:rPr>
          <w:rFonts w:asciiTheme="minorEastAsia" w:eastAsiaTheme="minorEastAsia" w:hAnsiTheme="minorEastAsia" w:cs="Arial"/>
          <w:sz w:val="21"/>
          <w:szCs w:val="21"/>
        </w:rPr>
        <w:t>202</w:t>
      </w:r>
      <w:r>
        <w:rPr>
          <w:rFonts w:asciiTheme="minorEastAsia" w:eastAsiaTheme="minorEastAsia" w:hAnsiTheme="minorEastAsia" w:cs="Arial" w:hint="eastAsia"/>
          <w:sz w:val="21"/>
          <w:szCs w:val="21"/>
        </w:rPr>
        <w:t>6年3</w:t>
      </w:r>
      <w:r>
        <w:rPr>
          <w:rFonts w:asciiTheme="minorEastAsia" w:eastAsiaTheme="minorEastAsia" w:hAnsiTheme="minorEastAsia" w:cs="Arial"/>
          <w:sz w:val="21"/>
          <w:szCs w:val="21"/>
        </w:rPr>
        <w:t>月</w:t>
      </w:r>
      <w:r>
        <w:rPr>
          <w:rFonts w:asciiTheme="minorEastAsia" w:eastAsiaTheme="minorEastAsia" w:hAnsiTheme="minorEastAsia" w:cs="Arial" w:hint="eastAsia"/>
          <w:sz w:val="21"/>
          <w:szCs w:val="21"/>
        </w:rPr>
        <w:t>16</w:t>
      </w:r>
      <w:r>
        <w:rPr>
          <w:rFonts w:asciiTheme="minorEastAsia" w:eastAsiaTheme="minorEastAsia" w:hAnsiTheme="minorEastAsia" w:cs="Arial"/>
          <w:sz w:val="21"/>
          <w:szCs w:val="21"/>
        </w:rPr>
        <w:t>日</w:t>
      </w:r>
    </w:p>
    <w:sectPr w:rsidR="0005247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4C1A89"/>
    <w:multiLevelType w:val="singleLevel"/>
    <w:tmpl w:val="954C1A8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hMDY4Y2Q5N2EyNzMwNDU4NWQ4Mjg2NmQwODYyNTgifQ=="/>
  </w:docVars>
  <w:rsids>
    <w:rsidRoot w:val="00030C15"/>
    <w:rsid w:val="000017AA"/>
    <w:rsid w:val="00011470"/>
    <w:rsid w:val="00021337"/>
    <w:rsid w:val="00024DCA"/>
    <w:rsid w:val="00030C15"/>
    <w:rsid w:val="00031280"/>
    <w:rsid w:val="00034E1A"/>
    <w:rsid w:val="000465CE"/>
    <w:rsid w:val="00052475"/>
    <w:rsid w:val="000548AE"/>
    <w:rsid w:val="0006384B"/>
    <w:rsid w:val="00064A89"/>
    <w:rsid w:val="0007672A"/>
    <w:rsid w:val="00082DFA"/>
    <w:rsid w:val="00085650"/>
    <w:rsid w:val="000875A4"/>
    <w:rsid w:val="00095639"/>
    <w:rsid w:val="000A7973"/>
    <w:rsid w:val="000C07AA"/>
    <w:rsid w:val="000E507C"/>
    <w:rsid w:val="000E588C"/>
    <w:rsid w:val="000F1758"/>
    <w:rsid w:val="000F19B0"/>
    <w:rsid w:val="000F65EB"/>
    <w:rsid w:val="0010116C"/>
    <w:rsid w:val="001011B9"/>
    <w:rsid w:val="0010323D"/>
    <w:rsid w:val="00106C38"/>
    <w:rsid w:val="001166FD"/>
    <w:rsid w:val="001178CD"/>
    <w:rsid w:val="00130F59"/>
    <w:rsid w:val="00134FDF"/>
    <w:rsid w:val="00143D47"/>
    <w:rsid w:val="00144500"/>
    <w:rsid w:val="00146B12"/>
    <w:rsid w:val="00150D44"/>
    <w:rsid w:val="00152305"/>
    <w:rsid w:val="001524E3"/>
    <w:rsid w:val="00153E3F"/>
    <w:rsid w:val="0016107C"/>
    <w:rsid w:val="00161C0D"/>
    <w:rsid w:val="00165C8F"/>
    <w:rsid w:val="0016653A"/>
    <w:rsid w:val="00166A34"/>
    <w:rsid w:val="00176B87"/>
    <w:rsid w:val="00180357"/>
    <w:rsid w:val="00181728"/>
    <w:rsid w:val="00197C7C"/>
    <w:rsid w:val="001A2DF0"/>
    <w:rsid w:val="001B444D"/>
    <w:rsid w:val="001C0BDD"/>
    <w:rsid w:val="001C1B09"/>
    <w:rsid w:val="001C2B63"/>
    <w:rsid w:val="001C4DC3"/>
    <w:rsid w:val="001D1213"/>
    <w:rsid w:val="001E2150"/>
    <w:rsid w:val="001E7B60"/>
    <w:rsid w:val="001F5C42"/>
    <w:rsid w:val="0020181D"/>
    <w:rsid w:val="00202B01"/>
    <w:rsid w:val="00202D2D"/>
    <w:rsid w:val="0020383E"/>
    <w:rsid w:val="0020744F"/>
    <w:rsid w:val="002077FC"/>
    <w:rsid w:val="00217931"/>
    <w:rsid w:val="00217E43"/>
    <w:rsid w:val="00220ACD"/>
    <w:rsid w:val="00223C88"/>
    <w:rsid w:val="002254E5"/>
    <w:rsid w:val="00225988"/>
    <w:rsid w:val="00233843"/>
    <w:rsid w:val="002347BB"/>
    <w:rsid w:val="00234D09"/>
    <w:rsid w:val="00241404"/>
    <w:rsid w:val="00245C34"/>
    <w:rsid w:val="002469A5"/>
    <w:rsid w:val="00253338"/>
    <w:rsid w:val="00256426"/>
    <w:rsid w:val="00265FD3"/>
    <w:rsid w:val="002753BD"/>
    <w:rsid w:val="002938CE"/>
    <w:rsid w:val="002A0398"/>
    <w:rsid w:val="002A0AE7"/>
    <w:rsid w:val="002A47D8"/>
    <w:rsid w:val="002C2F5A"/>
    <w:rsid w:val="002C4133"/>
    <w:rsid w:val="002C4F3F"/>
    <w:rsid w:val="002C6236"/>
    <w:rsid w:val="002C6C4E"/>
    <w:rsid w:val="002C7154"/>
    <w:rsid w:val="002D290D"/>
    <w:rsid w:val="002D4579"/>
    <w:rsid w:val="002D4D0C"/>
    <w:rsid w:val="002D4E01"/>
    <w:rsid w:val="002D548D"/>
    <w:rsid w:val="002D73ED"/>
    <w:rsid w:val="002D78D8"/>
    <w:rsid w:val="002D78F0"/>
    <w:rsid w:val="002D7AA6"/>
    <w:rsid w:val="002E057F"/>
    <w:rsid w:val="002E0A5E"/>
    <w:rsid w:val="002E1A6B"/>
    <w:rsid w:val="002E392C"/>
    <w:rsid w:val="002F0A0E"/>
    <w:rsid w:val="002F1AB5"/>
    <w:rsid w:val="002F3DE9"/>
    <w:rsid w:val="002F6756"/>
    <w:rsid w:val="002F6CA7"/>
    <w:rsid w:val="003031F7"/>
    <w:rsid w:val="003036D9"/>
    <w:rsid w:val="00304837"/>
    <w:rsid w:val="003115C3"/>
    <w:rsid w:val="003125D7"/>
    <w:rsid w:val="00313709"/>
    <w:rsid w:val="0031787C"/>
    <w:rsid w:val="003201EA"/>
    <w:rsid w:val="00321690"/>
    <w:rsid w:val="00331A6C"/>
    <w:rsid w:val="003463FB"/>
    <w:rsid w:val="0034665C"/>
    <w:rsid w:val="003472B5"/>
    <w:rsid w:val="00351478"/>
    <w:rsid w:val="00364077"/>
    <w:rsid w:val="00370B0C"/>
    <w:rsid w:val="00370B1F"/>
    <w:rsid w:val="0037127B"/>
    <w:rsid w:val="00374D6B"/>
    <w:rsid w:val="003772D2"/>
    <w:rsid w:val="003816BC"/>
    <w:rsid w:val="00383912"/>
    <w:rsid w:val="003841BA"/>
    <w:rsid w:val="00384482"/>
    <w:rsid w:val="00386FE9"/>
    <w:rsid w:val="00387F4B"/>
    <w:rsid w:val="00390F5A"/>
    <w:rsid w:val="00394964"/>
    <w:rsid w:val="003B4185"/>
    <w:rsid w:val="003B7657"/>
    <w:rsid w:val="003C0F2A"/>
    <w:rsid w:val="003C3FBF"/>
    <w:rsid w:val="003C4B56"/>
    <w:rsid w:val="003D0AFF"/>
    <w:rsid w:val="003D0B79"/>
    <w:rsid w:val="003D5F7B"/>
    <w:rsid w:val="003D7732"/>
    <w:rsid w:val="003E13CA"/>
    <w:rsid w:val="003E495A"/>
    <w:rsid w:val="003F32E8"/>
    <w:rsid w:val="00403E50"/>
    <w:rsid w:val="00404CCA"/>
    <w:rsid w:val="00405F24"/>
    <w:rsid w:val="00410996"/>
    <w:rsid w:val="00413F20"/>
    <w:rsid w:val="00414D9A"/>
    <w:rsid w:val="00416EEB"/>
    <w:rsid w:val="00420D60"/>
    <w:rsid w:val="00430278"/>
    <w:rsid w:val="00434321"/>
    <w:rsid w:val="00436F12"/>
    <w:rsid w:val="0044584C"/>
    <w:rsid w:val="00447D09"/>
    <w:rsid w:val="00452E24"/>
    <w:rsid w:val="004539F0"/>
    <w:rsid w:val="00454C50"/>
    <w:rsid w:val="00455141"/>
    <w:rsid w:val="004577C4"/>
    <w:rsid w:val="00467AD2"/>
    <w:rsid w:val="00467BD3"/>
    <w:rsid w:val="004837B8"/>
    <w:rsid w:val="00492942"/>
    <w:rsid w:val="00495088"/>
    <w:rsid w:val="00495997"/>
    <w:rsid w:val="00497A90"/>
    <w:rsid w:val="004A6A25"/>
    <w:rsid w:val="004B0311"/>
    <w:rsid w:val="004B5709"/>
    <w:rsid w:val="004B7885"/>
    <w:rsid w:val="004C51FF"/>
    <w:rsid w:val="004D02D9"/>
    <w:rsid w:val="004D4952"/>
    <w:rsid w:val="004D63ED"/>
    <w:rsid w:val="004E3497"/>
    <w:rsid w:val="004E418D"/>
    <w:rsid w:val="004E56CA"/>
    <w:rsid w:val="004E5F3D"/>
    <w:rsid w:val="004F0844"/>
    <w:rsid w:val="004F7D6C"/>
    <w:rsid w:val="00505432"/>
    <w:rsid w:val="00507D22"/>
    <w:rsid w:val="0051423C"/>
    <w:rsid w:val="00516969"/>
    <w:rsid w:val="00520357"/>
    <w:rsid w:val="005255E1"/>
    <w:rsid w:val="0052571D"/>
    <w:rsid w:val="00533AB6"/>
    <w:rsid w:val="00541B07"/>
    <w:rsid w:val="005423A1"/>
    <w:rsid w:val="00545E50"/>
    <w:rsid w:val="00565FF0"/>
    <w:rsid w:val="0057050D"/>
    <w:rsid w:val="00571A14"/>
    <w:rsid w:val="00574A70"/>
    <w:rsid w:val="00583934"/>
    <w:rsid w:val="00585A92"/>
    <w:rsid w:val="0058602E"/>
    <w:rsid w:val="005870CA"/>
    <w:rsid w:val="0058789A"/>
    <w:rsid w:val="005B09AB"/>
    <w:rsid w:val="005B102E"/>
    <w:rsid w:val="005B1FD5"/>
    <w:rsid w:val="005B63CE"/>
    <w:rsid w:val="005C1603"/>
    <w:rsid w:val="005C1F52"/>
    <w:rsid w:val="005C3DEA"/>
    <w:rsid w:val="005D2B5C"/>
    <w:rsid w:val="005D3A00"/>
    <w:rsid w:val="005D7A82"/>
    <w:rsid w:val="005D7DAE"/>
    <w:rsid w:val="005E2E21"/>
    <w:rsid w:val="005E7236"/>
    <w:rsid w:val="005F02C3"/>
    <w:rsid w:val="005F1A4C"/>
    <w:rsid w:val="005F4D35"/>
    <w:rsid w:val="005F71CD"/>
    <w:rsid w:val="006045D1"/>
    <w:rsid w:val="006147FF"/>
    <w:rsid w:val="006215FB"/>
    <w:rsid w:val="00624198"/>
    <w:rsid w:val="006253E7"/>
    <w:rsid w:val="00635C95"/>
    <w:rsid w:val="00642617"/>
    <w:rsid w:val="006433A7"/>
    <w:rsid w:val="00644A75"/>
    <w:rsid w:val="0064644C"/>
    <w:rsid w:val="00646ADD"/>
    <w:rsid w:val="00652825"/>
    <w:rsid w:val="00655062"/>
    <w:rsid w:val="00655168"/>
    <w:rsid w:val="006558FC"/>
    <w:rsid w:val="00656BEF"/>
    <w:rsid w:val="00656C74"/>
    <w:rsid w:val="0066457E"/>
    <w:rsid w:val="006676B1"/>
    <w:rsid w:val="006704B1"/>
    <w:rsid w:val="00674663"/>
    <w:rsid w:val="006751BA"/>
    <w:rsid w:val="00675B0A"/>
    <w:rsid w:val="00677D9D"/>
    <w:rsid w:val="00677E54"/>
    <w:rsid w:val="0068203E"/>
    <w:rsid w:val="00695479"/>
    <w:rsid w:val="006A264C"/>
    <w:rsid w:val="006A2EDB"/>
    <w:rsid w:val="006B50C3"/>
    <w:rsid w:val="006B53AD"/>
    <w:rsid w:val="006C090A"/>
    <w:rsid w:val="006D120E"/>
    <w:rsid w:val="006E1E0F"/>
    <w:rsid w:val="006E2433"/>
    <w:rsid w:val="006E3FC8"/>
    <w:rsid w:val="006E3FFE"/>
    <w:rsid w:val="006E78EA"/>
    <w:rsid w:val="006F4998"/>
    <w:rsid w:val="006F6292"/>
    <w:rsid w:val="006F6BB3"/>
    <w:rsid w:val="006F78C1"/>
    <w:rsid w:val="007010DD"/>
    <w:rsid w:val="00701A93"/>
    <w:rsid w:val="00702D46"/>
    <w:rsid w:val="00715034"/>
    <w:rsid w:val="00716684"/>
    <w:rsid w:val="007200D7"/>
    <w:rsid w:val="00736E92"/>
    <w:rsid w:val="00743E07"/>
    <w:rsid w:val="00744463"/>
    <w:rsid w:val="00745CEC"/>
    <w:rsid w:val="00756027"/>
    <w:rsid w:val="00756FE0"/>
    <w:rsid w:val="00761F1E"/>
    <w:rsid w:val="00763729"/>
    <w:rsid w:val="007671D4"/>
    <w:rsid w:val="0076731D"/>
    <w:rsid w:val="0077006A"/>
    <w:rsid w:val="00777F0C"/>
    <w:rsid w:val="00780D12"/>
    <w:rsid w:val="00797F8C"/>
    <w:rsid w:val="007A0B07"/>
    <w:rsid w:val="007A228B"/>
    <w:rsid w:val="007B4C2D"/>
    <w:rsid w:val="007B5F8E"/>
    <w:rsid w:val="007D4390"/>
    <w:rsid w:val="007E3FC8"/>
    <w:rsid w:val="007E5A84"/>
    <w:rsid w:val="007F24F0"/>
    <w:rsid w:val="007F5983"/>
    <w:rsid w:val="00800591"/>
    <w:rsid w:val="00805310"/>
    <w:rsid w:val="00813C82"/>
    <w:rsid w:val="0081607A"/>
    <w:rsid w:val="0081666E"/>
    <w:rsid w:val="008201EC"/>
    <w:rsid w:val="00831049"/>
    <w:rsid w:val="00832D39"/>
    <w:rsid w:val="008367D7"/>
    <w:rsid w:val="0083686B"/>
    <w:rsid w:val="00837CFB"/>
    <w:rsid w:val="00846551"/>
    <w:rsid w:val="00846F37"/>
    <w:rsid w:val="00851E48"/>
    <w:rsid w:val="00857652"/>
    <w:rsid w:val="008654EC"/>
    <w:rsid w:val="00870D92"/>
    <w:rsid w:val="00877430"/>
    <w:rsid w:val="0087781E"/>
    <w:rsid w:val="00885537"/>
    <w:rsid w:val="008858AE"/>
    <w:rsid w:val="00887C3B"/>
    <w:rsid w:val="008A6EFC"/>
    <w:rsid w:val="008B1E1E"/>
    <w:rsid w:val="008B208E"/>
    <w:rsid w:val="008B3E47"/>
    <w:rsid w:val="008B4DF7"/>
    <w:rsid w:val="008B53C4"/>
    <w:rsid w:val="008C1F31"/>
    <w:rsid w:val="008D0BE5"/>
    <w:rsid w:val="008D34BC"/>
    <w:rsid w:val="008E267D"/>
    <w:rsid w:val="008E30FB"/>
    <w:rsid w:val="008F47B8"/>
    <w:rsid w:val="008F4849"/>
    <w:rsid w:val="008F6893"/>
    <w:rsid w:val="009040D8"/>
    <w:rsid w:val="009100A4"/>
    <w:rsid w:val="00916A70"/>
    <w:rsid w:val="009215A5"/>
    <w:rsid w:val="00922D68"/>
    <w:rsid w:val="00923AF2"/>
    <w:rsid w:val="00926CC3"/>
    <w:rsid w:val="009301DE"/>
    <w:rsid w:val="009453F5"/>
    <w:rsid w:val="00945A10"/>
    <w:rsid w:val="00947F3D"/>
    <w:rsid w:val="00952E4E"/>
    <w:rsid w:val="009545EA"/>
    <w:rsid w:val="009643E8"/>
    <w:rsid w:val="00965136"/>
    <w:rsid w:val="009667FD"/>
    <w:rsid w:val="0097602E"/>
    <w:rsid w:val="00976048"/>
    <w:rsid w:val="009760D0"/>
    <w:rsid w:val="009776DE"/>
    <w:rsid w:val="00981DB8"/>
    <w:rsid w:val="00993C5E"/>
    <w:rsid w:val="00993E62"/>
    <w:rsid w:val="00994CFD"/>
    <w:rsid w:val="00997723"/>
    <w:rsid w:val="009A04F1"/>
    <w:rsid w:val="009B2915"/>
    <w:rsid w:val="009B645C"/>
    <w:rsid w:val="009C3067"/>
    <w:rsid w:val="009C4EC5"/>
    <w:rsid w:val="009C6CF5"/>
    <w:rsid w:val="009C72FD"/>
    <w:rsid w:val="009D0334"/>
    <w:rsid w:val="009D742F"/>
    <w:rsid w:val="009D79C1"/>
    <w:rsid w:val="009E3802"/>
    <w:rsid w:val="009E3FA9"/>
    <w:rsid w:val="009E5E39"/>
    <w:rsid w:val="009E6DF7"/>
    <w:rsid w:val="009E6F36"/>
    <w:rsid w:val="009F13BB"/>
    <w:rsid w:val="00A07C8F"/>
    <w:rsid w:val="00A10EE3"/>
    <w:rsid w:val="00A11542"/>
    <w:rsid w:val="00A12DE9"/>
    <w:rsid w:val="00A158CA"/>
    <w:rsid w:val="00A16D1F"/>
    <w:rsid w:val="00A16F0A"/>
    <w:rsid w:val="00A21C0F"/>
    <w:rsid w:val="00A26EA6"/>
    <w:rsid w:val="00A30CC3"/>
    <w:rsid w:val="00A35583"/>
    <w:rsid w:val="00A35A71"/>
    <w:rsid w:val="00A378E2"/>
    <w:rsid w:val="00A42724"/>
    <w:rsid w:val="00A5028C"/>
    <w:rsid w:val="00A52598"/>
    <w:rsid w:val="00A5674A"/>
    <w:rsid w:val="00A633D9"/>
    <w:rsid w:val="00A70E39"/>
    <w:rsid w:val="00A7220D"/>
    <w:rsid w:val="00A7365D"/>
    <w:rsid w:val="00A74E40"/>
    <w:rsid w:val="00A8350D"/>
    <w:rsid w:val="00A83AA7"/>
    <w:rsid w:val="00A845BD"/>
    <w:rsid w:val="00A905BF"/>
    <w:rsid w:val="00A9179D"/>
    <w:rsid w:val="00A919D3"/>
    <w:rsid w:val="00A952CF"/>
    <w:rsid w:val="00A96017"/>
    <w:rsid w:val="00A969D4"/>
    <w:rsid w:val="00A976EB"/>
    <w:rsid w:val="00AA165F"/>
    <w:rsid w:val="00AB17FC"/>
    <w:rsid w:val="00AB5972"/>
    <w:rsid w:val="00AB723A"/>
    <w:rsid w:val="00AC1F26"/>
    <w:rsid w:val="00AC2EE9"/>
    <w:rsid w:val="00AC32C8"/>
    <w:rsid w:val="00AD2902"/>
    <w:rsid w:val="00AE078B"/>
    <w:rsid w:val="00AE114E"/>
    <w:rsid w:val="00AE7BAF"/>
    <w:rsid w:val="00AF19FD"/>
    <w:rsid w:val="00AF2BBF"/>
    <w:rsid w:val="00AF5B56"/>
    <w:rsid w:val="00AF7799"/>
    <w:rsid w:val="00B04E52"/>
    <w:rsid w:val="00B07C25"/>
    <w:rsid w:val="00B17C33"/>
    <w:rsid w:val="00B32D56"/>
    <w:rsid w:val="00B32E25"/>
    <w:rsid w:val="00B336E2"/>
    <w:rsid w:val="00B34B62"/>
    <w:rsid w:val="00B36708"/>
    <w:rsid w:val="00B55720"/>
    <w:rsid w:val="00B61317"/>
    <w:rsid w:val="00B774E5"/>
    <w:rsid w:val="00B801CE"/>
    <w:rsid w:val="00B867A9"/>
    <w:rsid w:val="00B87D6A"/>
    <w:rsid w:val="00B960A7"/>
    <w:rsid w:val="00BA0C49"/>
    <w:rsid w:val="00BA56FC"/>
    <w:rsid w:val="00BA6477"/>
    <w:rsid w:val="00BA7325"/>
    <w:rsid w:val="00BA76E9"/>
    <w:rsid w:val="00BB2DE5"/>
    <w:rsid w:val="00BC1DB3"/>
    <w:rsid w:val="00BC3199"/>
    <w:rsid w:val="00BC5A84"/>
    <w:rsid w:val="00BC5F40"/>
    <w:rsid w:val="00BF03CF"/>
    <w:rsid w:val="00BF1931"/>
    <w:rsid w:val="00BF3987"/>
    <w:rsid w:val="00BF45FE"/>
    <w:rsid w:val="00C05788"/>
    <w:rsid w:val="00C13D74"/>
    <w:rsid w:val="00C1494F"/>
    <w:rsid w:val="00C15204"/>
    <w:rsid w:val="00C20CC1"/>
    <w:rsid w:val="00C21C3C"/>
    <w:rsid w:val="00C356A7"/>
    <w:rsid w:val="00C37EDC"/>
    <w:rsid w:val="00C440D2"/>
    <w:rsid w:val="00C458A0"/>
    <w:rsid w:val="00C64DFF"/>
    <w:rsid w:val="00C65763"/>
    <w:rsid w:val="00C70924"/>
    <w:rsid w:val="00C714F0"/>
    <w:rsid w:val="00C72466"/>
    <w:rsid w:val="00C75A7D"/>
    <w:rsid w:val="00C7713B"/>
    <w:rsid w:val="00C804B3"/>
    <w:rsid w:val="00C91370"/>
    <w:rsid w:val="00C91429"/>
    <w:rsid w:val="00CA2CB9"/>
    <w:rsid w:val="00CB3C02"/>
    <w:rsid w:val="00CB4A49"/>
    <w:rsid w:val="00CC0A1D"/>
    <w:rsid w:val="00CC7CB7"/>
    <w:rsid w:val="00CD2053"/>
    <w:rsid w:val="00CD2668"/>
    <w:rsid w:val="00CD313F"/>
    <w:rsid w:val="00CD3D3D"/>
    <w:rsid w:val="00CD7C5A"/>
    <w:rsid w:val="00CE0038"/>
    <w:rsid w:val="00CE3D31"/>
    <w:rsid w:val="00CE4F41"/>
    <w:rsid w:val="00CE5DAA"/>
    <w:rsid w:val="00CE69D0"/>
    <w:rsid w:val="00CE74D1"/>
    <w:rsid w:val="00CE755E"/>
    <w:rsid w:val="00CF1071"/>
    <w:rsid w:val="00CF265C"/>
    <w:rsid w:val="00CF6AC7"/>
    <w:rsid w:val="00CF7791"/>
    <w:rsid w:val="00D03431"/>
    <w:rsid w:val="00D03EB7"/>
    <w:rsid w:val="00D050F1"/>
    <w:rsid w:val="00D1441B"/>
    <w:rsid w:val="00D14739"/>
    <w:rsid w:val="00D1638B"/>
    <w:rsid w:val="00D2657D"/>
    <w:rsid w:val="00D31E76"/>
    <w:rsid w:val="00D350D0"/>
    <w:rsid w:val="00D37DBA"/>
    <w:rsid w:val="00D41AE1"/>
    <w:rsid w:val="00D41FD3"/>
    <w:rsid w:val="00D44EEF"/>
    <w:rsid w:val="00D45EE2"/>
    <w:rsid w:val="00D51728"/>
    <w:rsid w:val="00D57EB9"/>
    <w:rsid w:val="00D63EB7"/>
    <w:rsid w:val="00D730D7"/>
    <w:rsid w:val="00D77771"/>
    <w:rsid w:val="00D81651"/>
    <w:rsid w:val="00D816A7"/>
    <w:rsid w:val="00D834B6"/>
    <w:rsid w:val="00D83724"/>
    <w:rsid w:val="00D83FC0"/>
    <w:rsid w:val="00D91D48"/>
    <w:rsid w:val="00D93261"/>
    <w:rsid w:val="00D93954"/>
    <w:rsid w:val="00DA010B"/>
    <w:rsid w:val="00DA3DD3"/>
    <w:rsid w:val="00DA4BA5"/>
    <w:rsid w:val="00DA4CE3"/>
    <w:rsid w:val="00DA6398"/>
    <w:rsid w:val="00DB26D1"/>
    <w:rsid w:val="00DB3728"/>
    <w:rsid w:val="00DC07A7"/>
    <w:rsid w:val="00DD20AB"/>
    <w:rsid w:val="00DD2B33"/>
    <w:rsid w:val="00DD3390"/>
    <w:rsid w:val="00DD613A"/>
    <w:rsid w:val="00DE187A"/>
    <w:rsid w:val="00DF690C"/>
    <w:rsid w:val="00E01624"/>
    <w:rsid w:val="00E10AAE"/>
    <w:rsid w:val="00E14761"/>
    <w:rsid w:val="00E26FF3"/>
    <w:rsid w:val="00E30414"/>
    <w:rsid w:val="00E32008"/>
    <w:rsid w:val="00E33069"/>
    <w:rsid w:val="00E332A3"/>
    <w:rsid w:val="00E346AF"/>
    <w:rsid w:val="00E361BE"/>
    <w:rsid w:val="00E3675A"/>
    <w:rsid w:val="00E367DF"/>
    <w:rsid w:val="00E44C57"/>
    <w:rsid w:val="00E46C1E"/>
    <w:rsid w:val="00E52A1B"/>
    <w:rsid w:val="00E66E15"/>
    <w:rsid w:val="00E83E88"/>
    <w:rsid w:val="00E844AD"/>
    <w:rsid w:val="00E84765"/>
    <w:rsid w:val="00E84992"/>
    <w:rsid w:val="00E856B7"/>
    <w:rsid w:val="00EA3D09"/>
    <w:rsid w:val="00EB05C2"/>
    <w:rsid w:val="00EB4147"/>
    <w:rsid w:val="00EB59AC"/>
    <w:rsid w:val="00EB7209"/>
    <w:rsid w:val="00EC000D"/>
    <w:rsid w:val="00EC084C"/>
    <w:rsid w:val="00EC3B4A"/>
    <w:rsid w:val="00EE1A0D"/>
    <w:rsid w:val="00EE3723"/>
    <w:rsid w:val="00EE37ED"/>
    <w:rsid w:val="00EE4E2F"/>
    <w:rsid w:val="00EE612B"/>
    <w:rsid w:val="00EE6A90"/>
    <w:rsid w:val="00EF0A05"/>
    <w:rsid w:val="00EF1D86"/>
    <w:rsid w:val="00EF24E5"/>
    <w:rsid w:val="00EF50F0"/>
    <w:rsid w:val="00EF7A3F"/>
    <w:rsid w:val="00F14DAA"/>
    <w:rsid w:val="00F17FC7"/>
    <w:rsid w:val="00F20677"/>
    <w:rsid w:val="00F274AB"/>
    <w:rsid w:val="00F3434A"/>
    <w:rsid w:val="00F34B4E"/>
    <w:rsid w:val="00F42458"/>
    <w:rsid w:val="00F4366A"/>
    <w:rsid w:val="00F61C3B"/>
    <w:rsid w:val="00F7626F"/>
    <w:rsid w:val="00F831B4"/>
    <w:rsid w:val="00F8637A"/>
    <w:rsid w:val="00F96649"/>
    <w:rsid w:val="00F96CB8"/>
    <w:rsid w:val="00FD5FDD"/>
    <w:rsid w:val="00FE1027"/>
    <w:rsid w:val="00FE1E3D"/>
    <w:rsid w:val="00FE216A"/>
    <w:rsid w:val="00FF44A3"/>
    <w:rsid w:val="013C5215"/>
    <w:rsid w:val="01B572C5"/>
    <w:rsid w:val="03294CEA"/>
    <w:rsid w:val="03561F09"/>
    <w:rsid w:val="03FD05D6"/>
    <w:rsid w:val="04526515"/>
    <w:rsid w:val="072916E2"/>
    <w:rsid w:val="08533C93"/>
    <w:rsid w:val="0A7809B7"/>
    <w:rsid w:val="0BB772BD"/>
    <w:rsid w:val="0C874EE1"/>
    <w:rsid w:val="0DB91387"/>
    <w:rsid w:val="0F2B249C"/>
    <w:rsid w:val="0FC226D4"/>
    <w:rsid w:val="10481F4B"/>
    <w:rsid w:val="13564211"/>
    <w:rsid w:val="13B62550"/>
    <w:rsid w:val="14074B59"/>
    <w:rsid w:val="189E0C79"/>
    <w:rsid w:val="1AA650CC"/>
    <w:rsid w:val="1DE859FC"/>
    <w:rsid w:val="1EEE2B9E"/>
    <w:rsid w:val="2011105B"/>
    <w:rsid w:val="20B41BC5"/>
    <w:rsid w:val="20C4511F"/>
    <w:rsid w:val="21557B68"/>
    <w:rsid w:val="23D26F32"/>
    <w:rsid w:val="26585B8E"/>
    <w:rsid w:val="2A5D507B"/>
    <w:rsid w:val="2CB40D9D"/>
    <w:rsid w:val="30AA08EF"/>
    <w:rsid w:val="35C91817"/>
    <w:rsid w:val="387250A6"/>
    <w:rsid w:val="3A8A3C6B"/>
    <w:rsid w:val="3F923BD9"/>
    <w:rsid w:val="40220DAF"/>
    <w:rsid w:val="4798164F"/>
    <w:rsid w:val="49634A34"/>
    <w:rsid w:val="4A182738"/>
    <w:rsid w:val="4D4001B9"/>
    <w:rsid w:val="4E060EEC"/>
    <w:rsid w:val="50B43398"/>
    <w:rsid w:val="5AD00965"/>
    <w:rsid w:val="5E960581"/>
    <w:rsid w:val="61871F7A"/>
    <w:rsid w:val="62CF1F9B"/>
    <w:rsid w:val="63CF256B"/>
    <w:rsid w:val="66EC03F6"/>
    <w:rsid w:val="67F55412"/>
    <w:rsid w:val="681B120F"/>
    <w:rsid w:val="685079F2"/>
    <w:rsid w:val="68FB795E"/>
    <w:rsid w:val="6CBA368C"/>
    <w:rsid w:val="71AB7A47"/>
    <w:rsid w:val="71B034E7"/>
    <w:rsid w:val="76FA20FF"/>
    <w:rsid w:val="7891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03DA"/>
  <w15:docId w15:val="{E47F43C5-7D7A-484E-8A1B-46191F0A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pPr>
      <w:spacing w:after="120"/>
      <w:ind w:leftChars="200" w:left="42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Pr>
      <w:b/>
      <w:bC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im-content1">
    <w:name w:val="im-content1"/>
    <w:basedOn w:val="a0"/>
    <w:rPr>
      <w:color w:val="333333"/>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批注框文本 字符"/>
    <w:basedOn w:val="a0"/>
    <w:link w:val="a7"/>
    <w:uiPriority w:val="99"/>
    <w:semiHidden/>
    <w:qFormat/>
    <w:rPr>
      <w:sz w:val="18"/>
      <w:szCs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customStyle="1" w:styleId="21">
    <w:name w:val="修订2"/>
    <w:hidden/>
    <w:uiPriority w:val="99"/>
    <w:semiHidden/>
    <w:rPr>
      <w:rFonts w:asciiTheme="minorHAnsi" w:eastAsiaTheme="minorEastAsia" w:hAnsiTheme="minorHAnsi" w:cstheme="minorBidi"/>
      <w:kern w:val="2"/>
      <w:sz w:val="21"/>
      <w:szCs w:val="22"/>
    </w:rPr>
  </w:style>
  <w:style w:type="character" w:customStyle="1" w:styleId="a4">
    <w:name w:val="正文文本缩进 字符"/>
    <w:basedOn w:val="a0"/>
    <w:link w:val="a3"/>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5D5F-2C67-48BB-BA48-73EC0E37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585</Words>
  <Characters>3336</Characters>
  <Application>Microsoft Office Word</Application>
  <DocSecurity>0</DocSecurity>
  <Lines>27</Lines>
  <Paragraphs>7</Paragraphs>
  <ScaleCrop>false</ScaleCrop>
  <Company>P R C</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罗婷婷</dc:creator>
  <cp:lastModifiedBy>李琪</cp:lastModifiedBy>
  <cp:revision>178</cp:revision>
  <cp:lastPrinted>2020-06-05T03:13:00Z</cp:lastPrinted>
  <dcterms:created xsi:type="dcterms:W3CDTF">2023-02-16T08:43:00Z</dcterms:created>
  <dcterms:modified xsi:type="dcterms:W3CDTF">2026-03-16T08:57:00Z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FEDAC392FB174777A0F1EAB323F8E34A</vt:lpwstr>
  </property>
</Properties>
</file>