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4"/>
          <w:szCs w:val="24"/>
        </w:rPr>
        <w:t>关于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4"/>
          <w:szCs w:val="24"/>
          <w:lang w:eastAsia="zh-CN"/>
        </w:rPr>
        <w:t>建信理财龙鑫固收类最低持有120天产品第2期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4"/>
          <w:szCs w:val="24"/>
          <w:lang w:val="en-US" w:eastAsia="zh-CN"/>
        </w:rPr>
        <w:t>费率优惠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4"/>
          <w:szCs w:val="24"/>
        </w:rPr>
        <w:t>的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4"/>
          <w:szCs w:val="24"/>
          <w:lang w:val="en-US" w:eastAsia="zh-CN"/>
        </w:rPr>
        <w:t>公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4"/>
          <w:szCs w:val="24"/>
        </w:rPr>
        <w:t>告</w:t>
      </w:r>
    </w:p>
    <w:p w14:paraId="04D52AA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textAlignment w:val="auto"/>
        <w:rPr>
          <w:rFonts w:hint="eastAsia" w:ascii="宋体" w:hAnsi="宋体" w:eastAsia="宋体" w:cs="宋体"/>
          <w:color w:val="666666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拟对建信理财龙鑫固收类最低持有120天产品第2期进行销售费率和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管理费率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优惠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，具体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调整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如下：</w:t>
      </w:r>
    </w:p>
    <w:p w14:paraId="034FD55B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销售费率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1"/>
        <w:gridCol w:w="1920"/>
        <w:gridCol w:w="1785"/>
        <w:gridCol w:w="1920"/>
        <w:gridCol w:w="1755"/>
        <w:gridCol w:w="1765"/>
      </w:tblGrid>
      <w:tr w14:paraId="198CF3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571" w:type="dxa"/>
            <w:vMerge w:val="restart"/>
            <w:vAlign w:val="center"/>
          </w:tcPr>
          <w:p w14:paraId="14AAFC4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产品名称</w:t>
            </w:r>
          </w:p>
        </w:tc>
        <w:tc>
          <w:tcPr>
            <w:tcW w:w="1920" w:type="dxa"/>
            <w:vMerge w:val="restart"/>
            <w:vAlign w:val="center"/>
          </w:tcPr>
          <w:p w14:paraId="3985C6D6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全国银行业理财信息登记系统编号</w:t>
            </w:r>
          </w:p>
        </w:tc>
        <w:tc>
          <w:tcPr>
            <w:tcW w:w="1785" w:type="dxa"/>
            <w:vMerge w:val="restart"/>
            <w:vAlign w:val="center"/>
          </w:tcPr>
          <w:p w14:paraId="093DA20B">
            <w:pPr>
              <w:pStyle w:val="3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优惠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起始日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5D1D6DE2">
            <w:pPr>
              <w:pStyle w:val="3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优惠结束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20" w:type="dxa"/>
            <w:gridSpan w:val="2"/>
            <w:vAlign w:val="center"/>
          </w:tcPr>
          <w:p w14:paraId="24A5AA3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费率（年化）</w:t>
            </w:r>
          </w:p>
        </w:tc>
      </w:tr>
      <w:tr w14:paraId="3B78E4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571" w:type="dxa"/>
            <w:vMerge w:val="continue"/>
            <w:vAlign w:val="center"/>
          </w:tcPr>
          <w:p w14:paraId="025E1CA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3D4BFD8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3C70A8F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144BB51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6D6C24E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优惠前</w:t>
            </w:r>
          </w:p>
        </w:tc>
        <w:tc>
          <w:tcPr>
            <w:tcW w:w="1765" w:type="dxa"/>
            <w:vAlign w:val="center"/>
          </w:tcPr>
          <w:p w14:paraId="65D18AB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优惠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后</w:t>
            </w:r>
          </w:p>
        </w:tc>
      </w:tr>
      <w:tr w14:paraId="60694F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584B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建信理财龙鑫固收类最低持有120天产品第2期</w:t>
            </w:r>
          </w:p>
        </w:tc>
        <w:tc>
          <w:tcPr>
            <w:tcW w:w="1920" w:type="dxa"/>
            <w:vAlign w:val="center"/>
          </w:tcPr>
          <w:p w14:paraId="5F1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Z7000726000597</w:t>
            </w:r>
          </w:p>
        </w:tc>
        <w:tc>
          <w:tcPr>
            <w:tcW w:w="1785" w:type="dxa"/>
            <w:vAlign w:val="center"/>
          </w:tcPr>
          <w:p w14:paraId="4664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1920" w:type="dxa"/>
            <w:vAlign w:val="center"/>
          </w:tcPr>
          <w:p w14:paraId="5944127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1755" w:type="dxa"/>
            <w:vAlign w:val="center"/>
          </w:tcPr>
          <w:p w14:paraId="2B5921E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%</w:t>
            </w:r>
          </w:p>
        </w:tc>
        <w:tc>
          <w:tcPr>
            <w:tcW w:w="1765" w:type="dxa"/>
            <w:vAlign w:val="center"/>
          </w:tcPr>
          <w:p w14:paraId="11F1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0.10%</w:t>
            </w:r>
          </w:p>
        </w:tc>
      </w:tr>
    </w:tbl>
    <w:p w14:paraId="7BF93A9F">
      <w:pPr>
        <w:pStyle w:val="3"/>
        <w:numPr>
          <w:ilvl w:val="0"/>
          <w:numId w:val="0"/>
        </w:numPr>
        <w:snapToGrid w:val="0"/>
        <w:spacing w:before="0" w:beforeAutospacing="0" w:after="0" w:afterAutospacing="0" w:line="240" w:lineRule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 w14:paraId="54D0E886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管理费率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1"/>
        <w:gridCol w:w="1920"/>
        <w:gridCol w:w="1785"/>
        <w:gridCol w:w="1920"/>
        <w:gridCol w:w="1755"/>
        <w:gridCol w:w="1765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571" w:type="dxa"/>
            <w:vMerge w:val="restart"/>
            <w:vAlign w:val="center"/>
          </w:tcPr>
          <w:p w14:paraId="17F1658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产品名称</w:t>
            </w:r>
          </w:p>
        </w:tc>
        <w:tc>
          <w:tcPr>
            <w:tcW w:w="1920" w:type="dxa"/>
            <w:vMerge w:val="restart"/>
            <w:vAlign w:val="center"/>
          </w:tcPr>
          <w:p w14:paraId="560934D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全国银行业理财信息登记系统编号</w:t>
            </w:r>
          </w:p>
        </w:tc>
        <w:tc>
          <w:tcPr>
            <w:tcW w:w="1785" w:type="dxa"/>
            <w:vMerge w:val="restart"/>
            <w:vAlign w:val="center"/>
          </w:tcPr>
          <w:p w14:paraId="0CACA5DB">
            <w:pPr>
              <w:pStyle w:val="3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优惠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起始日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67A18BCA">
            <w:pPr>
              <w:pStyle w:val="3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优惠结束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20" w:type="dxa"/>
            <w:gridSpan w:val="2"/>
            <w:vAlign w:val="center"/>
          </w:tcPr>
          <w:p w14:paraId="2351C94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571" w:type="dxa"/>
            <w:vMerge w:val="continue"/>
            <w:vAlign w:val="center"/>
          </w:tcPr>
          <w:p w14:paraId="71607D0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7953AD4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4B46057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606F9CE6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518B532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优惠前</w:t>
            </w:r>
          </w:p>
        </w:tc>
        <w:tc>
          <w:tcPr>
            <w:tcW w:w="1765" w:type="dxa"/>
            <w:vAlign w:val="center"/>
          </w:tcPr>
          <w:p w14:paraId="78E38C2B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优惠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后</w:t>
            </w:r>
          </w:p>
        </w:tc>
      </w:tr>
      <w:tr w14:paraId="614A2A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6101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建信理财龙鑫固收类最低持有120天产品第2期</w:t>
            </w:r>
          </w:p>
        </w:tc>
        <w:tc>
          <w:tcPr>
            <w:tcW w:w="1920" w:type="dxa"/>
            <w:vAlign w:val="center"/>
          </w:tcPr>
          <w:p w14:paraId="050C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Z7000726000597</w:t>
            </w:r>
            <w:bookmarkStart w:id="0" w:name="_GoBack"/>
            <w:bookmarkEnd w:id="0"/>
          </w:p>
        </w:tc>
        <w:tc>
          <w:tcPr>
            <w:tcW w:w="1785" w:type="dxa"/>
            <w:vAlign w:val="center"/>
          </w:tcPr>
          <w:p w14:paraId="331C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1920" w:type="dxa"/>
            <w:vAlign w:val="center"/>
          </w:tcPr>
          <w:p w14:paraId="52A8C0A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1755" w:type="dxa"/>
            <w:vAlign w:val="center"/>
          </w:tcPr>
          <w:p w14:paraId="2AECAAA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%</w:t>
            </w:r>
          </w:p>
        </w:tc>
        <w:tc>
          <w:tcPr>
            <w:tcW w:w="1765" w:type="dxa"/>
            <w:vAlign w:val="center"/>
          </w:tcPr>
          <w:p w14:paraId="107D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0.10%</w:t>
            </w:r>
          </w:p>
        </w:tc>
      </w:tr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自优惠结束日后，销售费率和管理费率恢复至原费率水平。</w:t>
      </w:r>
    </w:p>
    <w:p w14:paraId="494854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eastAsia" w:ascii="宋体" w:hAnsi="宋体" w:eastAsia="宋体" w:cs="宋体"/>
          <w:color w:val="666666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本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公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告未提及事宜，按原产品说明书和风险揭示书的约定执行。</w:t>
      </w:r>
    </w:p>
    <w:p w14:paraId="57192C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特此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公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告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hint="eastAsia" w:ascii="宋体" w:hAnsi="宋体" w:eastAsia="宋体" w:cs="宋体"/>
          <w:color w:val="666666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建信理财有限责任公司</w:t>
      </w:r>
    </w:p>
    <w:p w14:paraId="3D1397BF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202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79952"/>
    <w:multiLevelType w:val="singleLevel"/>
    <w:tmpl w:val="F18799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D41374"/>
    <w:rsid w:val="01C866F9"/>
    <w:rsid w:val="02463876"/>
    <w:rsid w:val="03C249D5"/>
    <w:rsid w:val="04831DF5"/>
    <w:rsid w:val="04A732AF"/>
    <w:rsid w:val="063B1146"/>
    <w:rsid w:val="072968D9"/>
    <w:rsid w:val="07C74150"/>
    <w:rsid w:val="0EE235F9"/>
    <w:rsid w:val="0EF33893"/>
    <w:rsid w:val="0F1757F6"/>
    <w:rsid w:val="10057D33"/>
    <w:rsid w:val="117466E5"/>
    <w:rsid w:val="117D384D"/>
    <w:rsid w:val="12EA0F15"/>
    <w:rsid w:val="12F066A2"/>
    <w:rsid w:val="13A0778E"/>
    <w:rsid w:val="13D23914"/>
    <w:rsid w:val="14231504"/>
    <w:rsid w:val="146F4594"/>
    <w:rsid w:val="14AB2864"/>
    <w:rsid w:val="16292C6D"/>
    <w:rsid w:val="16B17642"/>
    <w:rsid w:val="16D0087B"/>
    <w:rsid w:val="16F5695F"/>
    <w:rsid w:val="18DF34D5"/>
    <w:rsid w:val="195A7F25"/>
    <w:rsid w:val="1CE407F6"/>
    <w:rsid w:val="1E703800"/>
    <w:rsid w:val="1ED41A95"/>
    <w:rsid w:val="1F240D25"/>
    <w:rsid w:val="21BF627D"/>
    <w:rsid w:val="22F8694F"/>
    <w:rsid w:val="23E822B6"/>
    <w:rsid w:val="24171AC2"/>
    <w:rsid w:val="242642DB"/>
    <w:rsid w:val="24853F16"/>
    <w:rsid w:val="24F44C86"/>
    <w:rsid w:val="252F258F"/>
    <w:rsid w:val="26810635"/>
    <w:rsid w:val="26C55EA9"/>
    <w:rsid w:val="27AD03A5"/>
    <w:rsid w:val="284F72AB"/>
    <w:rsid w:val="28ED0D31"/>
    <w:rsid w:val="298F1E12"/>
    <w:rsid w:val="2A6A4FF1"/>
    <w:rsid w:val="2B2960DD"/>
    <w:rsid w:val="2C7A1CCF"/>
    <w:rsid w:val="2F505AA6"/>
    <w:rsid w:val="316F75B2"/>
    <w:rsid w:val="32021299"/>
    <w:rsid w:val="32C41357"/>
    <w:rsid w:val="32D75DF9"/>
    <w:rsid w:val="3330216E"/>
    <w:rsid w:val="3535115B"/>
    <w:rsid w:val="35352A53"/>
    <w:rsid w:val="35A35F0C"/>
    <w:rsid w:val="35A66E91"/>
    <w:rsid w:val="35D36382"/>
    <w:rsid w:val="36E921AB"/>
    <w:rsid w:val="39203FFE"/>
    <w:rsid w:val="39BE045B"/>
    <w:rsid w:val="39F562C6"/>
    <w:rsid w:val="39FC4F68"/>
    <w:rsid w:val="3A4221B6"/>
    <w:rsid w:val="3AC72CFB"/>
    <w:rsid w:val="3BA8586D"/>
    <w:rsid w:val="3BDB2454"/>
    <w:rsid w:val="3C103F97"/>
    <w:rsid w:val="3C1C32B9"/>
    <w:rsid w:val="3D880301"/>
    <w:rsid w:val="3F4150D3"/>
    <w:rsid w:val="400E32F3"/>
    <w:rsid w:val="4067788A"/>
    <w:rsid w:val="40EC39E1"/>
    <w:rsid w:val="416937DF"/>
    <w:rsid w:val="42C46384"/>
    <w:rsid w:val="432937C0"/>
    <w:rsid w:val="44F4717C"/>
    <w:rsid w:val="45EE3F48"/>
    <w:rsid w:val="466A1313"/>
    <w:rsid w:val="47B75005"/>
    <w:rsid w:val="47BB52E5"/>
    <w:rsid w:val="49863B93"/>
    <w:rsid w:val="49E43B49"/>
    <w:rsid w:val="4A077F85"/>
    <w:rsid w:val="4A4C3DB8"/>
    <w:rsid w:val="4B380F77"/>
    <w:rsid w:val="4C4F073F"/>
    <w:rsid w:val="4D0639CC"/>
    <w:rsid w:val="4D7D33AF"/>
    <w:rsid w:val="4DE93BA1"/>
    <w:rsid w:val="4F3A6B88"/>
    <w:rsid w:val="4F6222CB"/>
    <w:rsid w:val="508E21DE"/>
    <w:rsid w:val="516B0122"/>
    <w:rsid w:val="52866F14"/>
    <w:rsid w:val="53335E7F"/>
    <w:rsid w:val="543847B7"/>
    <w:rsid w:val="54CB2E50"/>
    <w:rsid w:val="5547000F"/>
    <w:rsid w:val="55A37D12"/>
    <w:rsid w:val="5726080B"/>
    <w:rsid w:val="572F3796"/>
    <w:rsid w:val="58913FBE"/>
    <w:rsid w:val="59CB70B4"/>
    <w:rsid w:val="5AB158C3"/>
    <w:rsid w:val="5B03795E"/>
    <w:rsid w:val="5B846FD8"/>
    <w:rsid w:val="5B8B65BE"/>
    <w:rsid w:val="5D9F4227"/>
    <w:rsid w:val="5DD83C04"/>
    <w:rsid w:val="60213828"/>
    <w:rsid w:val="609108DC"/>
    <w:rsid w:val="6141071D"/>
    <w:rsid w:val="630E1F93"/>
    <w:rsid w:val="64733A58"/>
    <w:rsid w:val="649F2AD8"/>
    <w:rsid w:val="64FE3C72"/>
    <w:rsid w:val="652520C5"/>
    <w:rsid w:val="695732E1"/>
    <w:rsid w:val="69824AE2"/>
    <w:rsid w:val="6A385E52"/>
    <w:rsid w:val="6AA1457D"/>
    <w:rsid w:val="6BA96FAE"/>
    <w:rsid w:val="6CD97AB6"/>
    <w:rsid w:val="6DE568D8"/>
    <w:rsid w:val="6FD36103"/>
    <w:rsid w:val="70531ED5"/>
    <w:rsid w:val="70EF55D6"/>
    <w:rsid w:val="71814DB7"/>
    <w:rsid w:val="724D0D96"/>
    <w:rsid w:val="72920205"/>
    <w:rsid w:val="72FF663B"/>
    <w:rsid w:val="735A21CD"/>
    <w:rsid w:val="745325C0"/>
    <w:rsid w:val="747B30DE"/>
    <w:rsid w:val="75B02793"/>
    <w:rsid w:val="762C73B5"/>
    <w:rsid w:val="76571974"/>
    <w:rsid w:val="76FF56E8"/>
    <w:rsid w:val="77541DD9"/>
    <w:rsid w:val="777A0A13"/>
    <w:rsid w:val="789101DB"/>
    <w:rsid w:val="791E0625"/>
    <w:rsid w:val="7C0A200F"/>
    <w:rsid w:val="7C3073CD"/>
    <w:rsid w:val="7CFA4897"/>
    <w:rsid w:val="7D8E621E"/>
    <w:rsid w:val="7DB85F4F"/>
    <w:rsid w:val="7DC31D62"/>
    <w:rsid w:val="7E194CEF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2026-03-16T06:41:47Z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