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018D">
      <w:pPr>
        <w:spacing w:line="360" w:lineRule="auto"/>
        <w:jc w:val="center"/>
        <w:rPr>
          <w:rFonts w:hint="eastAsia" w:ascii="宋体" w:hAnsi="宋体" w:eastAsia="宋体" w:cs="Times New Roman"/>
          <w:b/>
          <w:sz w:val="24"/>
          <w:szCs w:val="24"/>
          <w:lang w:bidi="ar"/>
        </w:rPr>
      </w:pPr>
      <w:r>
        <w:rPr>
          <w:rFonts w:hint="eastAsia" w:asciiTheme="minorEastAsia" w:hAnsiTheme="minorEastAsia"/>
          <w:b/>
          <w:sz w:val="24"/>
          <w:szCs w:val="24"/>
        </w:rPr>
        <w:t>建信理财安享固收类封闭式养老理财产品2022年第2期非标资产披露公告</w:t>
      </w:r>
      <w:r>
        <w:rPr>
          <w:rFonts w:hint="eastAsia" w:ascii="宋体" w:hAnsi="宋体" w:eastAsia="宋体" w:cs="Times New Roman"/>
          <w:b/>
          <w:sz w:val="24"/>
          <w:szCs w:val="24"/>
          <w:lang w:bidi="ar"/>
        </w:rPr>
        <w:t>JXAXYLGS220215002</w:t>
      </w:r>
    </w:p>
    <w:p w14:paraId="78CBEC15">
      <w:pPr>
        <w:spacing w:line="360" w:lineRule="auto"/>
        <w:jc w:val="center"/>
        <w:rPr>
          <w:rFonts w:hint="eastAsia" w:ascii="宋体" w:hAnsi="宋体" w:eastAsia="宋体" w:cs="Times New Roman"/>
          <w:b/>
          <w:sz w:val="24"/>
          <w:szCs w:val="24"/>
          <w:lang w:bidi="ar"/>
        </w:rPr>
      </w:pPr>
    </w:p>
    <w:p w14:paraId="69A6D5C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尊敬的客户：</w:t>
      </w:r>
    </w:p>
    <w:p w14:paraId="0BF4B466">
      <w:pPr>
        <w:spacing w:line="360" w:lineRule="auto"/>
        <w:ind w:firstLine="525" w:firstLineChars="250"/>
        <w:rPr>
          <w:rFonts w:asciiTheme="minorEastAsia" w:hAnsiTheme="minorEastAsia"/>
          <w:szCs w:val="21"/>
        </w:rPr>
      </w:pPr>
      <w:r>
        <w:rPr>
          <w:rFonts w:hint="eastAsia" w:ascii="宋体" w:hAnsi="宋体"/>
          <w:szCs w:val="21"/>
        </w:rPr>
        <w:t>根据与投资者的约定，现将理财产品概况披露如下:</w:t>
      </w:r>
    </w:p>
    <w:tbl>
      <w:tblPr>
        <w:tblStyle w:val="2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7"/>
        <w:gridCol w:w="1707"/>
        <w:gridCol w:w="1707"/>
        <w:gridCol w:w="1938"/>
      </w:tblGrid>
      <w:tr w14:paraId="5D1E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4" w:type="pct"/>
            <w:shd w:val="clear" w:color="auto" w:fill="auto"/>
            <w:vAlign w:val="center"/>
          </w:tcPr>
          <w:p w14:paraId="11F1FC2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97CCAAB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0E77F3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6624ED2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业绩比较基准</w:t>
            </w:r>
          </w:p>
        </w:tc>
      </w:tr>
      <w:tr w14:paraId="2F2E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407" w:type="dxa"/>
            <w:shd w:val="clear" w:color="auto" w:fill="auto"/>
            <w:vAlign w:val="center"/>
          </w:tcPr>
          <w:p w14:paraId="61051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建信理财安享固收类封闭式养老理财产品2022年第2期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4E28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2022/03/15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EE4B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2027/03/17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6E40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5.8%/年-8.0%/年</w:t>
            </w:r>
          </w:p>
        </w:tc>
      </w:tr>
    </w:tbl>
    <w:p w14:paraId="319751F9">
      <w:pPr>
        <w:spacing w:line="360" w:lineRule="auto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依照监管要求，现对本期产品投资非标准化债权及股权类资产变化情况披露如下：</w:t>
      </w:r>
    </w:p>
    <w:tbl>
      <w:tblPr>
        <w:tblStyle w:val="2"/>
        <w:tblW w:w="51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221"/>
        <w:gridCol w:w="1543"/>
        <w:gridCol w:w="1179"/>
        <w:gridCol w:w="1296"/>
        <w:gridCol w:w="1137"/>
      </w:tblGrid>
      <w:tr w14:paraId="25F3FF0C">
        <w:trPr>
          <w:trHeight w:val="558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E25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A6B60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A8C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E05F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F2F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产品投资项目收益率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025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本金余额（万元）</w:t>
            </w:r>
          </w:p>
        </w:tc>
      </w:tr>
      <w:tr w14:paraId="186E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4071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广东华美集团有限公司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5CE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22广东华美OI00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09C2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其他非标准化债权类投资-带回购的永续债权资产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26C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CB22"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5.88</w:t>
            </w:r>
            <w:r>
              <w:rPr>
                <w:rFonts w:hint="eastAsia" w:asciiTheme="minorEastAsia" w:hAnsiTheme="minorEastAsia"/>
                <w:szCs w:val="21"/>
              </w:rPr>
              <w:t>%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495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</w:tr>
    </w:tbl>
    <w:p w14:paraId="39EABD24">
      <w:pPr>
        <w:spacing w:line="360" w:lineRule="auto"/>
        <w:ind w:firstLine="525" w:firstLineChars="2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特此公告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EECBBC6">
      <w:pPr>
        <w:spacing w:line="360" w:lineRule="auto"/>
        <w:ind w:firstLine="525" w:firstLineChars="250"/>
        <w:rPr>
          <w:rFonts w:ascii="宋体" w:hAnsi="宋体" w:cs="宋体"/>
          <w:color w:val="000000"/>
          <w:kern w:val="0"/>
          <w:szCs w:val="21"/>
        </w:rPr>
      </w:pPr>
    </w:p>
    <w:p w14:paraId="1890CFC5">
      <w:pPr>
        <w:spacing w:line="360" w:lineRule="auto"/>
        <w:ind w:firstLine="525" w:firstLineChars="2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建信理财有限责任公司</w:t>
      </w:r>
    </w:p>
    <w:p w14:paraId="47B4C205">
      <w:pPr>
        <w:spacing w:line="360" w:lineRule="auto"/>
        <w:ind w:firstLine="525" w:firstLineChars="250"/>
        <w:jc w:val="righ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年0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szCs w:val="21"/>
        </w:rPr>
        <w:t>日</w:t>
      </w:r>
    </w:p>
    <w:p w14:paraId="5CD581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2E"/>
    <w:rsid w:val="001E6F2E"/>
    <w:rsid w:val="00D70432"/>
    <w:rsid w:val="09052DD7"/>
    <w:rsid w:val="0BB80883"/>
    <w:rsid w:val="0FB652C4"/>
    <w:rsid w:val="105F0780"/>
    <w:rsid w:val="168F2139"/>
    <w:rsid w:val="16F36769"/>
    <w:rsid w:val="18721A28"/>
    <w:rsid w:val="1C2E52B2"/>
    <w:rsid w:val="28070C9D"/>
    <w:rsid w:val="321B0EFA"/>
    <w:rsid w:val="337A3B5F"/>
    <w:rsid w:val="35154A0D"/>
    <w:rsid w:val="36C36F36"/>
    <w:rsid w:val="3D8301EC"/>
    <w:rsid w:val="493D5189"/>
    <w:rsid w:val="4B5942E0"/>
    <w:rsid w:val="4F8C2E82"/>
    <w:rsid w:val="5A854D70"/>
    <w:rsid w:val="5B9C7DAD"/>
    <w:rsid w:val="60A82BEA"/>
    <w:rsid w:val="62072548"/>
    <w:rsid w:val="724824F4"/>
    <w:rsid w:val="7C2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2024-09-14T10:22:00Z</dcterms:created>
  <dc:creator>jxlc</dc:creator>
  <cp:lastModifiedBy>张雪生</cp:lastModifiedBy>
  <dcterms:modified xsi:type="dcterms:W3CDTF">2026-03-20T01:14:40Z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F4E5F1E08CA54E09BBFD4A3A291BA8C6_12</vt:lpwstr>
  </property>
</Properties>
</file>