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关于建信理财嘉鑫（稳利存款及存单）固收类封闭式产品2026年第466期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为更好地为客户提供投资理财服务，建信理财有限责任公司拟对建信理财嘉鑫（稳利存款及存单）固收类封闭式产品2026年第466期进行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费率优惠，优惠结束时间以后续公告为准，具体内容如下：</w:t>
      </w:r>
    </w:p>
    <w:p w14:paraId="002E5437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管理费率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建信理财嘉鑫（稳利存款及存单）固收类封闭式产品2026年第466期</w:t>
            </w:r>
          </w:p>
        </w:tc>
        <w:tc>
          <w:tcPr>
            <w:tcW w:w="1844" w:type="dxa"/>
            <w:vAlign w:val="center"/>
          </w:tcPr>
          <w:p w14:paraId="5C210F55">
            <w:pPr>
              <w:widowControl/>
              <w:ind w:left="105" w:leftChars="50" w:right="105" w:right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Z7000726000637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EFF122E">
      <w:pPr>
        <w:pStyle w:val="3"/>
        <w:spacing w:line="460" w:lineRule="atLeast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2026年3月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C199F"/>
    <w:multiLevelType w:val="singleLevel"/>
    <w:tmpl w:val="6B0C19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2E357B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3125A6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1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2026-03-25T01:07:11Z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1E2F1748449B49B7ACC2448C82C99467_13</vt:lpwstr>
  </property>
</Properties>
</file>