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关于建信理财嘉鑫（稳利）固收类封闭式产品2026年第378期费率优惠的公告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为更好地为客户提供投资理财服务，建信理财有限责任公司拟对建信理财嘉鑫（稳利）固收类封闭式产品2026年第378期进行费率优惠，优惠结束时间以后续公告为准，具体内容如下：</w:t>
      </w:r>
    </w:p>
    <w:p w14:paraId="002E5437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管理费率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建信理财嘉鑫（稳利）固收类封闭式产品2026年第378期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Z7000726000529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21D9735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销售费率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7CC940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24006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1AA0C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3E43718E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5DBE5FE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销售费率（年化）</w:t>
            </w:r>
          </w:p>
        </w:tc>
      </w:tr>
      <w:tr w14:paraId="59C8E7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35FC0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6B86A6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F72FB50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24F02F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18E5E138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6C8EE3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3836F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建信理财嘉鑫（稳利）固收类封闭式产品2026年第378期</w:t>
            </w:r>
          </w:p>
        </w:tc>
        <w:tc>
          <w:tcPr>
            <w:tcW w:w="1844" w:type="dxa"/>
            <w:vAlign w:val="center"/>
          </w:tcPr>
          <w:p w14:paraId="499C0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Z7000726000529</w:t>
            </w:r>
          </w:p>
        </w:tc>
        <w:tc>
          <w:tcPr>
            <w:tcW w:w="1977" w:type="dxa"/>
            <w:vAlign w:val="center"/>
          </w:tcPr>
          <w:p w14:paraId="0AF537A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3F1D7EE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2166" w:type="dxa"/>
            <w:vAlign w:val="center"/>
          </w:tcPr>
          <w:p w14:paraId="21AF57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0.05%</w:t>
            </w:r>
          </w:p>
        </w:tc>
      </w:tr>
    </w:tbl>
    <w:p w14:paraId="3EFF122E">
      <w:pPr>
        <w:pStyle w:val="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2026年3月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C199F"/>
    <w:multiLevelType w:val="singleLevel"/>
    <w:tmpl w:val="6B0C19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3125A6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2026-03-18T07:43:58Z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2B6DA694F5F647459D0507CD7D05624B_13</vt:lpwstr>
  </property>
</Properties>
</file>