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6A569" w14:textId="77777777" w:rsidR="00ED7558" w:rsidRDefault="006F5FC1">
      <w:pPr>
        <w:jc w:val="center"/>
        <w:rPr>
          <w:rFonts w:ascii="彩虹小标宋" w:eastAsia="彩虹小标宋"/>
          <w:sz w:val="44"/>
          <w:szCs w:val="44"/>
        </w:rPr>
      </w:pPr>
      <w:r>
        <w:rPr>
          <w:rFonts w:ascii="彩虹小标宋" w:eastAsia="彩虹小标宋" w:hint="eastAsia"/>
          <w:sz w:val="44"/>
          <w:szCs w:val="44"/>
        </w:rPr>
        <w:t>关于调整部分理财产品工作日规则的公告</w:t>
      </w:r>
    </w:p>
    <w:p w14:paraId="090D3271" w14:textId="77777777" w:rsidR="00ED7558" w:rsidRDefault="00ED7558">
      <w:pPr>
        <w:spacing w:line="560" w:lineRule="exact"/>
        <w:rPr>
          <w:rFonts w:ascii="彩虹粗仿宋" w:eastAsia="彩虹粗仿宋"/>
          <w:sz w:val="32"/>
          <w:szCs w:val="32"/>
        </w:rPr>
      </w:pPr>
    </w:p>
    <w:p w14:paraId="41C41FE4" w14:textId="77777777" w:rsidR="00ED7558" w:rsidRDefault="006F5FC1">
      <w:pPr>
        <w:spacing w:line="560" w:lineRule="exact"/>
        <w:rPr>
          <w:rFonts w:ascii="彩虹粗仿宋" w:eastAsia="彩虹粗仿宋"/>
          <w:sz w:val="32"/>
          <w:szCs w:val="32"/>
        </w:rPr>
      </w:pPr>
      <w:r>
        <w:rPr>
          <w:rFonts w:ascii="彩虹粗仿宋" w:eastAsia="彩虹粗仿宋" w:hint="eastAsia"/>
          <w:sz w:val="32"/>
          <w:szCs w:val="32"/>
        </w:rPr>
        <w:t>尊敬的投资者：</w:t>
      </w:r>
    </w:p>
    <w:p w14:paraId="496CC94E" w14:textId="77777777" w:rsidR="00ED7558" w:rsidRDefault="006F5FC1">
      <w:pPr>
        <w:spacing w:afterLines="50" w:after="156" w:line="560" w:lineRule="exact"/>
        <w:ind w:firstLineChars="200" w:firstLine="640"/>
        <w:rPr>
          <w:rFonts w:ascii="彩虹粗仿宋" w:eastAsia="彩虹粗仿宋"/>
          <w:sz w:val="32"/>
          <w:szCs w:val="32"/>
        </w:rPr>
      </w:pPr>
      <w:r>
        <w:rPr>
          <w:rFonts w:ascii="彩虹粗仿宋" w:eastAsia="彩虹粗仿宋" w:hint="eastAsia"/>
          <w:sz w:val="32"/>
          <w:szCs w:val="32"/>
        </w:rPr>
        <w:t>根据产品投资运作需要，建信理财拟于</w:t>
      </w:r>
      <w:r>
        <w:rPr>
          <w:rFonts w:ascii="彩虹粗仿宋" w:eastAsia="彩虹粗仿宋" w:hint="eastAsia"/>
          <w:sz w:val="32"/>
          <w:szCs w:val="32"/>
        </w:rPr>
        <w:t>2026</w:t>
      </w:r>
      <w:r>
        <w:rPr>
          <w:rFonts w:ascii="彩虹粗仿宋" w:eastAsia="彩虹粗仿宋" w:hint="eastAsia"/>
          <w:sz w:val="32"/>
          <w:szCs w:val="32"/>
        </w:rPr>
        <w:t>年</w:t>
      </w:r>
      <w:r>
        <w:rPr>
          <w:rFonts w:ascii="彩虹粗仿宋" w:eastAsia="彩虹粗仿宋" w:hint="eastAsia"/>
          <w:sz w:val="32"/>
          <w:szCs w:val="32"/>
        </w:rPr>
        <w:t>4</w:t>
      </w:r>
      <w:r>
        <w:rPr>
          <w:rFonts w:ascii="彩虹粗仿宋" w:eastAsia="彩虹粗仿宋" w:hint="eastAsia"/>
          <w:sz w:val="32"/>
          <w:szCs w:val="32"/>
        </w:rPr>
        <w:t>月</w:t>
      </w:r>
      <w:r>
        <w:rPr>
          <w:rFonts w:ascii="彩虹粗仿宋" w:eastAsia="彩虹粗仿宋" w:hint="eastAsia"/>
          <w:sz w:val="32"/>
          <w:szCs w:val="32"/>
        </w:rPr>
        <w:t>22</w:t>
      </w:r>
      <w:r>
        <w:rPr>
          <w:rFonts w:ascii="彩虹粗仿宋" w:eastAsia="彩虹粗仿宋" w:hint="eastAsia"/>
          <w:sz w:val="32"/>
          <w:szCs w:val="32"/>
        </w:rPr>
        <w:t>日（含）起调整部分理财产品的工作日规则，具体如下：</w:t>
      </w:r>
    </w:p>
    <w:tbl>
      <w:tblPr>
        <w:tblW w:w="5200" w:type="pct"/>
        <w:jc w:val="center"/>
        <w:tblBorders>
          <w:top w:val="thinThickSmallGap" w:sz="24" w:space="0" w:color="auto"/>
          <w:bottom w:val="thinThickSmallGap" w:sz="2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7"/>
        <w:gridCol w:w="1903"/>
        <w:gridCol w:w="2443"/>
        <w:gridCol w:w="2445"/>
      </w:tblGrid>
      <w:tr w:rsidR="00ED7558" w14:paraId="5F0D0894" w14:textId="77777777">
        <w:trPr>
          <w:trHeight w:val="576"/>
          <w:tblHeader/>
          <w:jc w:val="center"/>
        </w:trPr>
        <w:tc>
          <w:tcPr>
            <w:tcW w:w="1064" w:type="pct"/>
            <w:vMerge w:val="restart"/>
            <w:tcBorders>
              <w:left w:val="single" w:sz="4" w:space="0" w:color="auto"/>
            </w:tcBorders>
            <w:vAlign w:val="center"/>
          </w:tcPr>
          <w:p w14:paraId="5DF5BD6B" w14:textId="77777777" w:rsidR="00ED7558" w:rsidRDefault="006F5FC1">
            <w:pPr>
              <w:pStyle w:val="ab"/>
              <w:snapToGrid w:val="0"/>
              <w:jc w:val="center"/>
              <w:rPr>
                <w:rFonts w:ascii="彩虹粗仿宋" w:eastAsia="彩虹粗仿宋" w:hAnsi="彩虹粗仿宋" w:cs="彩虹粗仿宋"/>
                <w:sz w:val="21"/>
                <w:szCs w:val="21"/>
              </w:rPr>
            </w:pPr>
            <w:r>
              <w:rPr>
                <w:rStyle w:val="af"/>
                <w:rFonts w:ascii="彩虹粗仿宋" w:eastAsia="彩虹粗仿宋" w:hAnsi="彩虹粗仿宋" w:cs="彩虹粗仿宋" w:hint="eastAsia"/>
                <w:sz w:val="21"/>
                <w:szCs w:val="21"/>
              </w:rPr>
              <w:t>产品名称</w:t>
            </w:r>
          </w:p>
        </w:tc>
        <w:tc>
          <w:tcPr>
            <w:tcW w:w="1102" w:type="pct"/>
            <w:vMerge w:val="restart"/>
            <w:vAlign w:val="center"/>
          </w:tcPr>
          <w:p w14:paraId="0FAAC921" w14:textId="77777777" w:rsidR="00ED7558" w:rsidRDefault="006F5FC1">
            <w:pPr>
              <w:pStyle w:val="ab"/>
              <w:snapToGrid w:val="0"/>
              <w:spacing w:before="0" w:beforeAutospacing="0" w:after="0" w:afterAutospacing="0"/>
              <w:jc w:val="center"/>
              <w:rPr>
                <w:rFonts w:ascii="彩虹粗仿宋" w:eastAsia="彩虹粗仿宋" w:hAnsi="彩虹粗仿宋" w:cs="彩虹粗仿宋"/>
                <w:b/>
                <w:sz w:val="21"/>
                <w:szCs w:val="21"/>
              </w:rPr>
            </w:pPr>
            <w:r>
              <w:rPr>
                <w:rFonts w:ascii="彩虹粗仿宋" w:eastAsia="彩虹粗仿宋" w:hAnsi="彩虹粗仿宋" w:cs="彩虹粗仿宋" w:hint="eastAsia"/>
                <w:b/>
                <w:sz w:val="21"/>
                <w:szCs w:val="21"/>
              </w:rPr>
              <w:t>全国银行业理财信息</w:t>
            </w:r>
          </w:p>
          <w:p w14:paraId="474E935B" w14:textId="77777777" w:rsidR="00ED7558" w:rsidRDefault="006F5FC1">
            <w:pPr>
              <w:pStyle w:val="ab"/>
              <w:snapToGrid w:val="0"/>
              <w:spacing w:before="0" w:beforeAutospacing="0" w:after="0" w:afterAutospacing="0"/>
              <w:jc w:val="center"/>
              <w:rPr>
                <w:rFonts w:ascii="彩虹粗仿宋" w:eastAsia="彩虹粗仿宋" w:hAnsi="彩虹粗仿宋" w:cs="彩虹粗仿宋"/>
                <w:sz w:val="21"/>
                <w:szCs w:val="21"/>
              </w:rPr>
            </w:pPr>
            <w:r>
              <w:rPr>
                <w:rFonts w:ascii="彩虹粗仿宋" w:eastAsia="彩虹粗仿宋" w:hAnsi="彩虹粗仿宋" w:cs="彩虹粗仿宋" w:hint="eastAsia"/>
                <w:b/>
                <w:sz w:val="21"/>
                <w:szCs w:val="21"/>
              </w:rPr>
              <w:t>登记系统编码</w:t>
            </w:r>
          </w:p>
        </w:tc>
        <w:tc>
          <w:tcPr>
            <w:tcW w:w="2833" w:type="pct"/>
            <w:gridSpan w:val="2"/>
            <w:tcBorders>
              <w:right w:val="single" w:sz="4" w:space="0" w:color="auto"/>
            </w:tcBorders>
            <w:tcMar>
              <w:top w:w="0" w:type="dxa"/>
              <w:left w:w="108" w:type="dxa"/>
              <w:bottom w:w="0" w:type="dxa"/>
              <w:right w:w="108" w:type="dxa"/>
            </w:tcMar>
            <w:vAlign w:val="center"/>
          </w:tcPr>
          <w:p w14:paraId="360A0BDD" w14:textId="77777777" w:rsidR="00ED7558" w:rsidRDefault="006F5FC1">
            <w:pPr>
              <w:pStyle w:val="ab"/>
              <w:snapToGrid w:val="0"/>
              <w:jc w:val="center"/>
              <w:rPr>
                <w:rFonts w:ascii="彩虹粗仿宋" w:eastAsia="彩虹粗仿宋" w:hAnsi="彩虹粗仿宋" w:cs="彩虹粗仿宋"/>
                <w:b/>
                <w:sz w:val="21"/>
                <w:szCs w:val="21"/>
              </w:rPr>
            </w:pPr>
            <w:r>
              <w:rPr>
                <w:rFonts w:ascii="彩虹粗仿宋" w:eastAsia="彩虹粗仿宋" w:hAnsi="彩虹粗仿宋" w:cs="彩虹粗仿宋" w:hint="eastAsia"/>
                <w:b/>
                <w:sz w:val="21"/>
                <w:szCs w:val="21"/>
              </w:rPr>
              <w:t>投资范围</w:t>
            </w:r>
          </w:p>
        </w:tc>
      </w:tr>
      <w:tr w:rsidR="00ED7558" w14:paraId="1231DFF7" w14:textId="77777777">
        <w:trPr>
          <w:trHeight w:val="410"/>
          <w:tblHeader/>
          <w:jc w:val="center"/>
        </w:trPr>
        <w:tc>
          <w:tcPr>
            <w:tcW w:w="1064" w:type="pct"/>
            <w:vMerge/>
            <w:tcBorders>
              <w:left w:val="single" w:sz="4" w:space="0" w:color="auto"/>
              <w:bottom w:val="single" w:sz="4" w:space="0" w:color="auto"/>
            </w:tcBorders>
            <w:vAlign w:val="center"/>
          </w:tcPr>
          <w:p w14:paraId="598AE4AE" w14:textId="77777777" w:rsidR="00ED7558" w:rsidRDefault="00ED7558">
            <w:pPr>
              <w:rPr>
                <w:rFonts w:ascii="彩虹粗仿宋" w:eastAsia="彩虹粗仿宋" w:hAnsi="彩虹粗仿宋" w:cs="彩虹粗仿宋"/>
                <w:szCs w:val="21"/>
              </w:rPr>
            </w:pPr>
          </w:p>
        </w:tc>
        <w:tc>
          <w:tcPr>
            <w:tcW w:w="1102" w:type="pct"/>
            <w:vMerge/>
            <w:tcBorders>
              <w:bottom w:val="single" w:sz="4" w:space="0" w:color="auto"/>
            </w:tcBorders>
            <w:vAlign w:val="center"/>
          </w:tcPr>
          <w:p w14:paraId="1DCCD7BD" w14:textId="77777777" w:rsidR="00ED7558" w:rsidRDefault="00ED7558">
            <w:pPr>
              <w:jc w:val="center"/>
              <w:rPr>
                <w:rFonts w:ascii="彩虹粗仿宋" w:eastAsia="彩虹粗仿宋" w:hAnsi="彩虹粗仿宋" w:cs="彩虹粗仿宋"/>
                <w:kern w:val="0"/>
                <w:szCs w:val="21"/>
              </w:rPr>
            </w:pPr>
          </w:p>
        </w:tc>
        <w:tc>
          <w:tcPr>
            <w:tcW w:w="1416" w:type="pct"/>
            <w:tcBorders>
              <w:bottom w:val="single" w:sz="4" w:space="0" w:color="auto"/>
            </w:tcBorders>
            <w:tcMar>
              <w:top w:w="0" w:type="dxa"/>
              <w:left w:w="108" w:type="dxa"/>
              <w:bottom w:w="0" w:type="dxa"/>
              <w:right w:w="108" w:type="dxa"/>
            </w:tcMar>
            <w:vAlign w:val="center"/>
          </w:tcPr>
          <w:p w14:paraId="01AA4036" w14:textId="77777777" w:rsidR="00ED7558" w:rsidRDefault="006F5FC1">
            <w:pPr>
              <w:pStyle w:val="ab"/>
              <w:snapToGrid w:val="0"/>
              <w:jc w:val="center"/>
              <w:rPr>
                <w:rFonts w:ascii="彩虹粗仿宋" w:eastAsia="彩虹粗仿宋" w:hAnsi="彩虹粗仿宋" w:cs="彩虹粗仿宋"/>
                <w:sz w:val="21"/>
                <w:szCs w:val="21"/>
              </w:rPr>
            </w:pPr>
            <w:r>
              <w:rPr>
                <w:rStyle w:val="af"/>
                <w:rFonts w:ascii="彩虹粗仿宋" w:eastAsia="彩虹粗仿宋" w:hAnsi="彩虹粗仿宋" w:cs="彩虹粗仿宋" w:hint="eastAsia"/>
                <w:sz w:val="21"/>
                <w:szCs w:val="21"/>
              </w:rPr>
              <w:t>调整前</w:t>
            </w:r>
          </w:p>
        </w:tc>
        <w:tc>
          <w:tcPr>
            <w:tcW w:w="1416" w:type="pct"/>
            <w:tcBorders>
              <w:bottom w:val="single" w:sz="4" w:space="0" w:color="auto"/>
              <w:right w:val="single" w:sz="4" w:space="0" w:color="auto"/>
            </w:tcBorders>
            <w:tcMar>
              <w:top w:w="0" w:type="dxa"/>
              <w:left w:w="108" w:type="dxa"/>
              <w:bottom w:w="0" w:type="dxa"/>
              <w:right w:w="108" w:type="dxa"/>
            </w:tcMar>
            <w:vAlign w:val="center"/>
          </w:tcPr>
          <w:p w14:paraId="2FE29989" w14:textId="77777777" w:rsidR="00ED7558" w:rsidRDefault="006F5FC1">
            <w:pPr>
              <w:pStyle w:val="ab"/>
              <w:snapToGrid w:val="0"/>
              <w:jc w:val="center"/>
              <w:rPr>
                <w:rFonts w:ascii="彩虹粗仿宋" w:eastAsia="彩虹粗仿宋" w:hAnsi="彩虹粗仿宋" w:cs="彩虹粗仿宋"/>
                <w:sz w:val="21"/>
                <w:szCs w:val="21"/>
              </w:rPr>
            </w:pPr>
            <w:r>
              <w:rPr>
                <w:rStyle w:val="af"/>
                <w:rFonts w:ascii="彩虹粗仿宋" w:eastAsia="彩虹粗仿宋" w:hAnsi="彩虹粗仿宋" w:cs="彩虹粗仿宋" w:hint="eastAsia"/>
                <w:sz w:val="21"/>
                <w:szCs w:val="21"/>
              </w:rPr>
              <w:t>调整后</w:t>
            </w:r>
          </w:p>
        </w:tc>
      </w:tr>
      <w:tr w:rsidR="00ED7558" w14:paraId="1A20324E" w14:textId="77777777">
        <w:trPr>
          <w:trHeight w:val="1181"/>
          <w:jc w:val="center"/>
        </w:trPr>
        <w:tc>
          <w:tcPr>
            <w:tcW w:w="1064" w:type="pct"/>
            <w:tcBorders>
              <w:top w:val="single" w:sz="4" w:space="0" w:color="auto"/>
              <w:left w:val="single" w:sz="4" w:space="0" w:color="auto"/>
              <w:bottom w:val="single" w:sz="4" w:space="0" w:color="auto"/>
            </w:tcBorders>
            <w:vAlign w:val="center"/>
          </w:tcPr>
          <w:p w14:paraId="63532728" w14:textId="77777777" w:rsidR="00ED7558" w:rsidRDefault="006F5FC1">
            <w:pPr>
              <w:jc w:val="center"/>
              <w:rPr>
                <w:rFonts w:ascii="彩虹小标宋" w:eastAsia="彩虹小标宋" w:hAnsi="彩虹小标宋" w:cs="彩虹小标宋"/>
                <w:szCs w:val="21"/>
              </w:rPr>
            </w:pPr>
            <w:r>
              <w:rPr>
                <w:rFonts w:ascii="彩虹小标宋" w:eastAsia="彩虹小标宋" w:hAnsi="彩虹小标宋" w:cs="彩虹小标宋" w:hint="eastAsia"/>
                <w:szCs w:val="21"/>
              </w:rPr>
              <w:t>建信理财嘉鑫（稳利）固收类最低持有</w:t>
            </w:r>
            <w:r>
              <w:rPr>
                <w:rFonts w:ascii="彩虹小标宋" w:eastAsia="彩虹小标宋" w:hAnsi="彩虹小标宋" w:cs="彩虹小标宋" w:hint="eastAsia"/>
                <w:szCs w:val="21"/>
              </w:rPr>
              <w:t>7</w:t>
            </w:r>
            <w:r>
              <w:rPr>
                <w:rFonts w:ascii="彩虹小标宋" w:eastAsia="彩虹小标宋" w:hAnsi="彩虹小标宋" w:cs="彩虹小标宋" w:hint="eastAsia"/>
                <w:szCs w:val="21"/>
              </w:rPr>
              <w:t>天产品第</w:t>
            </w:r>
            <w:r>
              <w:rPr>
                <w:rFonts w:ascii="彩虹小标宋" w:eastAsia="彩虹小标宋" w:hAnsi="彩虹小标宋" w:cs="彩虹小标宋" w:hint="eastAsia"/>
                <w:szCs w:val="21"/>
              </w:rPr>
              <w:t>12</w:t>
            </w:r>
            <w:r>
              <w:rPr>
                <w:rFonts w:ascii="彩虹小标宋" w:eastAsia="彩虹小标宋" w:hAnsi="彩虹小标宋" w:cs="彩虹小标宋" w:hint="eastAsia"/>
                <w:szCs w:val="21"/>
              </w:rPr>
              <w:t>期</w:t>
            </w:r>
          </w:p>
        </w:tc>
        <w:tc>
          <w:tcPr>
            <w:tcW w:w="1102" w:type="pct"/>
            <w:tcBorders>
              <w:top w:val="single" w:sz="4" w:space="0" w:color="auto"/>
              <w:bottom w:val="single" w:sz="4" w:space="0" w:color="auto"/>
            </w:tcBorders>
            <w:vAlign w:val="center"/>
          </w:tcPr>
          <w:p w14:paraId="3765AAE0" w14:textId="77777777" w:rsidR="00ED7558" w:rsidRDefault="006F5FC1">
            <w:pPr>
              <w:spacing w:line="256" w:lineRule="auto"/>
              <w:jc w:val="center"/>
              <w:rPr>
                <w:rFonts w:ascii="彩虹小标宋" w:eastAsia="彩虹小标宋" w:hAnsi="彩虹小标宋" w:cs="彩虹小标宋"/>
                <w:szCs w:val="21"/>
              </w:rPr>
            </w:pPr>
            <w:r>
              <w:rPr>
                <w:rFonts w:ascii="彩虹小标宋" w:eastAsia="彩虹小标宋" w:hAnsi="彩虹小标宋" w:cs="彩虹小标宋" w:hint="eastAsia"/>
                <w:szCs w:val="21"/>
              </w:rPr>
              <w:t>Z7000725000206</w:t>
            </w:r>
          </w:p>
        </w:tc>
        <w:tc>
          <w:tcPr>
            <w:tcW w:w="1416" w:type="pct"/>
            <w:vMerge w:val="restart"/>
            <w:tcBorders>
              <w:top w:val="single" w:sz="4" w:space="0" w:color="auto"/>
            </w:tcBorders>
            <w:tcMar>
              <w:top w:w="0" w:type="dxa"/>
              <w:left w:w="108" w:type="dxa"/>
              <w:bottom w:w="0" w:type="dxa"/>
              <w:right w:w="108" w:type="dxa"/>
            </w:tcMar>
            <w:vAlign w:val="center"/>
          </w:tcPr>
          <w:p w14:paraId="08CF836C" w14:textId="77777777" w:rsidR="00ED7558" w:rsidRDefault="006F5FC1">
            <w:pPr>
              <w:rPr>
                <w:rFonts w:ascii="彩虹小标宋" w:eastAsia="彩虹小标宋" w:hAnsi="彩虹小标宋" w:cs="彩虹小标宋"/>
                <w:color w:val="000000" w:themeColor="text1"/>
                <w:szCs w:val="21"/>
              </w:rPr>
            </w:pPr>
            <w:r>
              <w:rPr>
                <w:rFonts w:ascii="彩虹小标宋" w:eastAsia="彩虹小标宋" w:hAnsi="彩虹小标宋" w:cs="彩虹小标宋" w:hint="eastAsia"/>
                <w:szCs w:val="21"/>
              </w:rPr>
              <w:t>申购开放日：</w:t>
            </w:r>
            <w:r>
              <w:rPr>
                <w:rFonts w:ascii="彩虹小标宋" w:eastAsia="彩虹小标宋" w:hAnsi="彩虹小标宋" w:cs="彩虹小标宋" w:hint="eastAsia"/>
                <w:color w:val="000000" w:themeColor="text1"/>
                <w:szCs w:val="21"/>
              </w:rPr>
              <w:t>除产品成立日外的每个</w:t>
            </w:r>
            <w:r>
              <w:rPr>
                <w:rFonts w:ascii="彩虹小标宋" w:eastAsia="彩虹小标宋" w:hAnsi="彩虹小标宋" w:cs="彩虹小标宋" w:hint="eastAsia"/>
                <w:b/>
                <w:bCs/>
                <w:color w:val="000000" w:themeColor="text1"/>
                <w:szCs w:val="21"/>
              </w:rPr>
              <w:t>交易</w:t>
            </w:r>
            <w:r>
              <w:rPr>
                <w:rFonts w:ascii="彩虹小标宋" w:eastAsia="彩虹小标宋" w:hAnsi="彩虹小标宋" w:cs="彩虹小标宋" w:hint="eastAsia"/>
                <w:b/>
                <w:bCs/>
                <w:color w:val="000000" w:themeColor="text1"/>
                <w:szCs w:val="21"/>
              </w:rPr>
              <w:t>日</w:t>
            </w:r>
            <w:r>
              <w:rPr>
                <w:rFonts w:ascii="彩虹小标宋" w:eastAsia="彩虹小标宋" w:hAnsi="彩虹小标宋" w:cs="彩虹小标宋" w:hint="eastAsia"/>
                <w:color w:val="000000" w:themeColor="text1"/>
                <w:szCs w:val="21"/>
              </w:rPr>
              <w:t>均为申购开放日</w:t>
            </w:r>
            <w:r>
              <w:rPr>
                <w:rFonts w:ascii="彩虹小标宋" w:eastAsia="彩虹小标宋" w:hAnsi="彩虹小标宋" w:cs="彩虹小标宋" w:hint="eastAsia"/>
                <w:color w:val="000000" w:themeColor="text1"/>
                <w:szCs w:val="21"/>
              </w:rPr>
              <w:t>。</w:t>
            </w:r>
          </w:p>
          <w:p w14:paraId="24227085" w14:textId="77777777" w:rsidR="00ED7558" w:rsidRDefault="006F5FC1">
            <w:pPr>
              <w:rPr>
                <w:rFonts w:ascii="彩虹小标宋" w:eastAsia="彩虹小标宋" w:hAnsi="彩虹小标宋" w:cs="彩虹小标宋"/>
                <w:color w:val="000000" w:themeColor="text1"/>
                <w:szCs w:val="21"/>
              </w:rPr>
            </w:pPr>
            <w:r>
              <w:rPr>
                <w:rFonts w:ascii="彩虹小标宋" w:eastAsia="彩虹小标宋" w:hAnsi="彩虹小标宋" w:cs="彩虹小标宋" w:hint="eastAsia"/>
                <w:szCs w:val="21"/>
              </w:rPr>
              <w:t>赎回开放日：</w:t>
            </w:r>
            <w:r>
              <w:rPr>
                <w:rFonts w:ascii="彩虹小标宋" w:eastAsia="彩虹小标宋" w:hAnsi="彩虹小标宋" w:cs="彩虹小标宋" w:hint="eastAsia"/>
                <w:color w:val="000000" w:themeColor="text1"/>
                <w:szCs w:val="21"/>
              </w:rPr>
              <w:t>除产品成立日外的每个</w:t>
            </w:r>
            <w:r>
              <w:rPr>
                <w:rFonts w:ascii="彩虹小标宋" w:eastAsia="彩虹小标宋" w:hAnsi="彩虹小标宋" w:cs="彩虹小标宋" w:hint="eastAsia"/>
                <w:b/>
                <w:bCs/>
                <w:color w:val="000000" w:themeColor="text1"/>
                <w:szCs w:val="21"/>
              </w:rPr>
              <w:t>交易</w:t>
            </w:r>
            <w:r>
              <w:rPr>
                <w:rFonts w:ascii="彩虹小标宋" w:eastAsia="彩虹小标宋" w:hAnsi="彩虹小标宋" w:cs="彩虹小标宋" w:hint="eastAsia"/>
                <w:b/>
                <w:bCs/>
                <w:color w:val="000000" w:themeColor="text1"/>
                <w:szCs w:val="21"/>
              </w:rPr>
              <w:t>日</w:t>
            </w:r>
            <w:r>
              <w:rPr>
                <w:rFonts w:ascii="彩虹小标宋" w:eastAsia="彩虹小标宋" w:hAnsi="彩虹小标宋" w:cs="彩虹小标宋" w:hint="eastAsia"/>
                <w:color w:val="000000" w:themeColor="text1"/>
                <w:szCs w:val="21"/>
              </w:rPr>
              <w:t>均为赎回开放日。</w:t>
            </w:r>
          </w:p>
          <w:p w14:paraId="43228048" w14:textId="77777777" w:rsidR="00ED7558" w:rsidRDefault="006F5FC1">
            <w:pPr>
              <w:rPr>
                <w:rFonts w:ascii="彩虹小标宋" w:eastAsia="彩虹小标宋" w:hAnsi="彩虹小标宋" w:cs="彩虹小标宋"/>
                <w:szCs w:val="21"/>
              </w:rPr>
            </w:pPr>
            <w:r>
              <w:rPr>
                <w:rFonts w:ascii="彩虹小标宋" w:eastAsia="彩虹小标宋" w:hAnsi="彩虹小标宋" w:cs="彩虹小标宋" w:hint="eastAsia"/>
                <w:szCs w:val="21"/>
              </w:rPr>
              <w:t>本产品在申购开放日后</w:t>
            </w:r>
            <w:r>
              <w:rPr>
                <w:rFonts w:ascii="彩虹小标宋" w:eastAsia="彩虹小标宋" w:hAnsi="彩虹小标宋" w:cs="彩虹小标宋" w:hint="eastAsia"/>
                <w:color w:val="000000" w:themeColor="text1"/>
                <w:szCs w:val="21"/>
              </w:rPr>
              <w:t>第一个</w:t>
            </w:r>
            <w:r>
              <w:rPr>
                <w:rFonts w:ascii="彩虹小标宋" w:eastAsia="彩虹小标宋" w:hAnsi="彩虹小标宋" w:cs="彩虹小标宋" w:hint="eastAsia"/>
                <w:b/>
                <w:bCs/>
                <w:color w:val="000000" w:themeColor="text1"/>
                <w:szCs w:val="21"/>
              </w:rPr>
              <w:t>交易</w:t>
            </w:r>
            <w:r>
              <w:rPr>
                <w:rFonts w:ascii="彩虹小标宋" w:eastAsia="彩虹小标宋" w:hAnsi="彩虹小标宋" w:cs="彩虹小标宋" w:hint="eastAsia"/>
                <w:b/>
                <w:bCs/>
                <w:color w:val="000000" w:themeColor="text1"/>
                <w:szCs w:val="21"/>
              </w:rPr>
              <w:t>日</w:t>
            </w:r>
            <w:r>
              <w:rPr>
                <w:rFonts w:ascii="彩虹小标宋" w:eastAsia="彩虹小标宋" w:hAnsi="彩虹小标宋" w:cs="彩虹小标宋" w:hint="eastAsia"/>
                <w:color w:val="000000" w:themeColor="text1"/>
                <w:szCs w:val="21"/>
              </w:rPr>
              <w:t>（</w:t>
            </w:r>
            <w:r>
              <w:rPr>
                <w:rFonts w:ascii="彩虹小标宋" w:eastAsia="彩虹小标宋" w:hAnsi="彩虹小标宋" w:cs="彩虹小标宋" w:hint="eastAsia"/>
                <w:color w:val="000000" w:themeColor="text1"/>
                <w:szCs w:val="21"/>
              </w:rPr>
              <w:t>T+1</w:t>
            </w:r>
            <w:r>
              <w:rPr>
                <w:rFonts w:ascii="彩虹小标宋" w:eastAsia="彩虹小标宋" w:hAnsi="彩虹小标宋" w:cs="彩虹小标宋" w:hint="eastAsia"/>
                <w:color w:val="000000" w:themeColor="text1"/>
                <w:szCs w:val="21"/>
              </w:rPr>
              <w:t>日）</w:t>
            </w:r>
            <w:r>
              <w:rPr>
                <w:rFonts w:ascii="彩虹小标宋" w:eastAsia="彩虹小标宋" w:hAnsi="彩虹小标宋" w:cs="彩虹小标宋" w:hint="eastAsia"/>
                <w:szCs w:val="21"/>
              </w:rPr>
              <w:t>对申购申请的有效性进行确认。</w:t>
            </w:r>
          </w:p>
          <w:p w14:paraId="0A24555B" w14:textId="77777777" w:rsidR="00ED7558" w:rsidRDefault="006F5FC1">
            <w:pPr>
              <w:rPr>
                <w:rFonts w:ascii="彩虹小标宋" w:eastAsia="彩虹小标宋" w:hAnsi="彩虹小标宋" w:cs="彩虹小标宋"/>
                <w:szCs w:val="21"/>
              </w:rPr>
            </w:pPr>
            <w:r>
              <w:rPr>
                <w:rFonts w:ascii="彩虹小标宋" w:eastAsia="彩虹小标宋" w:hAnsi="彩虹小标宋" w:cs="彩虹小标宋" w:hint="eastAsia"/>
                <w:szCs w:val="21"/>
              </w:rPr>
              <w:t>本产品在赎回开放日后</w:t>
            </w:r>
            <w:r>
              <w:rPr>
                <w:rFonts w:ascii="彩虹小标宋" w:eastAsia="彩虹小标宋" w:hAnsi="彩虹小标宋" w:cs="彩虹小标宋" w:hint="eastAsia"/>
                <w:color w:val="000000" w:themeColor="text1"/>
                <w:szCs w:val="21"/>
              </w:rPr>
              <w:t>第一个</w:t>
            </w:r>
            <w:r>
              <w:rPr>
                <w:rFonts w:ascii="彩虹小标宋" w:eastAsia="彩虹小标宋" w:hAnsi="彩虹小标宋" w:cs="彩虹小标宋" w:hint="eastAsia"/>
                <w:b/>
                <w:bCs/>
                <w:color w:val="000000" w:themeColor="text1"/>
                <w:szCs w:val="21"/>
              </w:rPr>
              <w:t>交易</w:t>
            </w:r>
            <w:r>
              <w:rPr>
                <w:rFonts w:ascii="彩虹小标宋" w:eastAsia="彩虹小标宋" w:hAnsi="彩虹小标宋" w:cs="彩虹小标宋" w:hint="eastAsia"/>
                <w:b/>
                <w:bCs/>
                <w:color w:val="000000" w:themeColor="text1"/>
                <w:szCs w:val="21"/>
              </w:rPr>
              <w:t>日</w:t>
            </w:r>
            <w:r>
              <w:rPr>
                <w:rFonts w:ascii="彩虹小标宋" w:eastAsia="彩虹小标宋" w:hAnsi="彩虹小标宋" w:cs="彩虹小标宋" w:hint="eastAsia"/>
                <w:color w:val="000000" w:themeColor="text1"/>
                <w:szCs w:val="21"/>
              </w:rPr>
              <w:t>（</w:t>
            </w:r>
            <w:r>
              <w:rPr>
                <w:rFonts w:ascii="彩虹小标宋" w:eastAsia="彩虹小标宋" w:hAnsi="彩虹小标宋" w:cs="彩虹小标宋" w:hint="eastAsia"/>
                <w:color w:val="000000" w:themeColor="text1"/>
                <w:szCs w:val="21"/>
              </w:rPr>
              <w:t>T+1</w:t>
            </w:r>
            <w:r>
              <w:rPr>
                <w:rFonts w:ascii="彩虹小标宋" w:eastAsia="彩虹小标宋" w:hAnsi="彩虹小标宋" w:cs="彩虹小标宋" w:hint="eastAsia"/>
                <w:color w:val="000000" w:themeColor="text1"/>
                <w:szCs w:val="21"/>
              </w:rPr>
              <w:t>日）</w:t>
            </w:r>
            <w:r>
              <w:rPr>
                <w:rFonts w:ascii="彩虹小标宋" w:eastAsia="彩虹小标宋" w:hAnsi="彩虹小标宋" w:cs="彩虹小标宋" w:hint="eastAsia"/>
                <w:szCs w:val="21"/>
              </w:rPr>
              <w:t>对赎回申请的有效性进行确认，并完成赎回资金到账。</w:t>
            </w:r>
          </w:p>
        </w:tc>
        <w:tc>
          <w:tcPr>
            <w:tcW w:w="1416" w:type="pct"/>
            <w:vMerge w:val="restart"/>
            <w:tcBorders>
              <w:top w:val="single" w:sz="4" w:space="0" w:color="auto"/>
              <w:right w:val="single" w:sz="4" w:space="0" w:color="auto"/>
            </w:tcBorders>
            <w:tcMar>
              <w:top w:w="0" w:type="dxa"/>
              <w:left w:w="108" w:type="dxa"/>
              <w:bottom w:w="0" w:type="dxa"/>
              <w:right w:w="108" w:type="dxa"/>
            </w:tcMar>
            <w:vAlign w:val="center"/>
          </w:tcPr>
          <w:p w14:paraId="03436245" w14:textId="77777777" w:rsidR="00ED7558" w:rsidRDefault="006F5FC1">
            <w:pPr>
              <w:rPr>
                <w:rFonts w:ascii="彩虹小标宋" w:eastAsia="彩虹小标宋" w:hAnsi="彩虹小标宋" w:cs="彩虹小标宋"/>
                <w:color w:val="000000" w:themeColor="text1"/>
                <w:szCs w:val="21"/>
              </w:rPr>
            </w:pPr>
            <w:r>
              <w:rPr>
                <w:rFonts w:ascii="彩虹小标宋" w:eastAsia="彩虹小标宋" w:hAnsi="彩虹小标宋" w:cs="彩虹小标宋" w:hint="eastAsia"/>
                <w:szCs w:val="21"/>
              </w:rPr>
              <w:t>申购开放日：</w:t>
            </w:r>
            <w:r>
              <w:rPr>
                <w:rFonts w:ascii="彩虹小标宋" w:eastAsia="彩虹小标宋" w:hAnsi="彩虹小标宋" w:cs="彩虹小标宋" w:hint="eastAsia"/>
                <w:color w:val="000000" w:themeColor="text1"/>
                <w:szCs w:val="21"/>
              </w:rPr>
              <w:t>除产品成立日外的每个</w:t>
            </w:r>
            <w:r>
              <w:rPr>
                <w:rFonts w:ascii="彩虹小标宋" w:eastAsia="彩虹小标宋" w:hAnsi="彩虹小标宋" w:cs="彩虹小标宋" w:hint="eastAsia"/>
                <w:b/>
                <w:bCs/>
                <w:color w:val="000000" w:themeColor="text1"/>
                <w:szCs w:val="21"/>
              </w:rPr>
              <w:t>工作</w:t>
            </w:r>
            <w:r>
              <w:rPr>
                <w:rFonts w:ascii="彩虹小标宋" w:eastAsia="彩虹小标宋" w:hAnsi="彩虹小标宋" w:cs="彩虹小标宋" w:hint="eastAsia"/>
                <w:b/>
                <w:bCs/>
                <w:color w:val="000000" w:themeColor="text1"/>
                <w:szCs w:val="21"/>
              </w:rPr>
              <w:t>日</w:t>
            </w:r>
            <w:r>
              <w:rPr>
                <w:rFonts w:ascii="彩虹小标宋" w:eastAsia="彩虹小标宋" w:hAnsi="彩虹小标宋" w:cs="彩虹小标宋" w:hint="eastAsia"/>
                <w:color w:val="000000" w:themeColor="text1"/>
                <w:szCs w:val="21"/>
              </w:rPr>
              <w:t>均为申购开放日</w:t>
            </w:r>
            <w:r>
              <w:rPr>
                <w:rFonts w:ascii="彩虹小标宋" w:eastAsia="彩虹小标宋" w:hAnsi="彩虹小标宋" w:cs="彩虹小标宋" w:hint="eastAsia"/>
                <w:color w:val="000000" w:themeColor="text1"/>
                <w:szCs w:val="21"/>
              </w:rPr>
              <w:t>。</w:t>
            </w:r>
          </w:p>
          <w:p w14:paraId="60669618" w14:textId="77777777" w:rsidR="00ED7558" w:rsidRDefault="006F5FC1">
            <w:pPr>
              <w:rPr>
                <w:rFonts w:ascii="彩虹小标宋" w:eastAsia="彩虹小标宋" w:hAnsi="彩虹小标宋" w:cs="彩虹小标宋"/>
                <w:color w:val="000000" w:themeColor="text1"/>
                <w:szCs w:val="21"/>
              </w:rPr>
            </w:pPr>
            <w:r>
              <w:rPr>
                <w:rFonts w:ascii="彩虹小标宋" w:eastAsia="彩虹小标宋" w:hAnsi="彩虹小标宋" w:cs="彩虹小标宋" w:hint="eastAsia"/>
                <w:szCs w:val="21"/>
              </w:rPr>
              <w:t>赎回开放日：</w:t>
            </w:r>
            <w:r>
              <w:rPr>
                <w:rFonts w:ascii="彩虹小标宋" w:eastAsia="彩虹小标宋" w:hAnsi="彩虹小标宋" w:cs="彩虹小标宋" w:hint="eastAsia"/>
                <w:color w:val="000000" w:themeColor="text1"/>
                <w:szCs w:val="21"/>
              </w:rPr>
              <w:t>除产品成立日外的每个</w:t>
            </w:r>
            <w:r>
              <w:rPr>
                <w:rFonts w:ascii="彩虹小标宋" w:eastAsia="彩虹小标宋" w:hAnsi="彩虹小标宋" w:cs="彩虹小标宋" w:hint="eastAsia"/>
                <w:b/>
                <w:bCs/>
                <w:color w:val="000000" w:themeColor="text1"/>
                <w:szCs w:val="21"/>
              </w:rPr>
              <w:t>工作</w:t>
            </w:r>
            <w:r>
              <w:rPr>
                <w:rFonts w:ascii="彩虹小标宋" w:eastAsia="彩虹小标宋" w:hAnsi="彩虹小标宋" w:cs="彩虹小标宋" w:hint="eastAsia"/>
                <w:b/>
                <w:bCs/>
                <w:color w:val="000000" w:themeColor="text1"/>
                <w:szCs w:val="21"/>
              </w:rPr>
              <w:t>日</w:t>
            </w:r>
            <w:r>
              <w:rPr>
                <w:rFonts w:ascii="彩虹小标宋" w:eastAsia="彩虹小标宋" w:hAnsi="彩虹小标宋" w:cs="彩虹小标宋" w:hint="eastAsia"/>
                <w:color w:val="000000" w:themeColor="text1"/>
                <w:szCs w:val="21"/>
              </w:rPr>
              <w:t>均为赎回开放日。</w:t>
            </w:r>
          </w:p>
          <w:p w14:paraId="3F4B53ED" w14:textId="77777777" w:rsidR="00ED7558" w:rsidRDefault="006F5FC1">
            <w:pPr>
              <w:rPr>
                <w:rFonts w:ascii="彩虹小标宋" w:eastAsia="彩虹小标宋" w:hAnsi="彩虹小标宋" w:cs="彩虹小标宋"/>
                <w:szCs w:val="21"/>
              </w:rPr>
            </w:pPr>
            <w:r>
              <w:rPr>
                <w:rFonts w:ascii="彩虹小标宋" w:eastAsia="彩虹小标宋" w:hAnsi="彩虹小标宋" w:cs="彩虹小标宋" w:hint="eastAsia"/>
                <w:szCs w:val="21"/>
              </w:rPr>
              <w:t>本产品在申购开放日后</w:t>
            </w:r>
            <w:r>
              <w:rPr>
                <w:rFonts w:ascii="彩虹小标宋" w:eastAsia="彩虹小标宋" w:hAnsi="彩虹小标宋" w:cs="彩虹小标宋" w:hint="eastAsia"/>
                <w:color w:val="000000" w:themeColor="text1"/>
                <w:szCs w:val="21"/>
              </w:rPr>
              <w:t>第一个</w:t>
            </w:r>
            <w:r>
              <w:rPr>
                <w:rFonts w:ascii="彩虹小标宋" w:eastAsia="彩虹小标宋" w:hAnsi="彩虹小标宋" w:cs="彩虹小标宋" w:hint="eastAsia"/>
                <w:b/>
                <w:bCs/>
                <w:color w:val="000000" w:themeColor="text1"/>
                <w:szCs w:val="21"/>
              </w:rPr>
              <w:t>工作</w:t>
            </w:r>
            <w:r>
              <w:rPr>
                <w:rFonts w:ascii="彩虹小标宋" w:eastAsia="彩虹小标宋" w:hAnsi="彩虹小标宋" w:cs="彩虹小标宋" w:hint="eastAsia"/>
                <w:b/>
                <w:bCs/>
                <w:color w:val="000000" w:themeColor="text1"/>
                <w:szCs w:val="21"/>
              </w:rPr>
              <w:t>日</w:t>
            </w:r>
            <w:r>
              <w:rPr>
                <w:rFonts w:ascii="彩虹小标宋" w:eastAsia="彩虹小标宋" w:hAnsi="彩虹小标宋" w:cs="彩虹小标宋" w:hint="eastAsia"/>
                <w:color w:val="000000" w:themeColor="text1"/>
                <w:szCs w:val="21"/>
              </w:rPr>
              <w:t>（</w:t>
            </w:r>
            <w:r>
              <w:rPr>
                <w:rFonts w:ascii="彩虹小标宋" w:eastAsia="彩虹小标宋" w:hAnsi="彩虹小标宋" w:cs="彩虹小标宋" w:hint="eastAsia"/>
                <w:color w:val="000000" w:themeColor="text1"/>
                <w:szCs w:val="21"/>
              </w:rPr>
              <w:t>T+1</w:t>
            </w:r>
            <w:r>
              <w:rPr>
                <w:rFonts w:ascii="彩虹小标宋" w:eastAsia="彩虹小标宋" w:hAnsi="彩虹小标宋" w:cs="彩虹小标宋" w:hint="eastAsia"/>
                <w:color w:val="000000" w:themeColor="text1"/>
                <w:szCs w:val="21"/>
              </w:rPr>
              <w:t>日）</w:t>
            </w:r>
            <w:r>
              <w:rPr>
                <w:rFonts w:ascii="彩虹小标宋" w:eastAsia="彩虹小标宋" w:hAnsi="彩虹小标宋" w:cs="彩虹小标宋" w:hint="eastAsia"/>
                <w:szCs w:val="21"/>
              </w:rPr>
              <w:t>对申购申请的有效性进行确认。</w:t>
            </w:r>
          </w:p>
          <w:p w14:paraId="02FF9CC6" w14:textId="77777777" w:rsidR="00ED7558" w:rsidRDefault="006F5FC1">
            <w:pPr>
              <w:rPr>
                <w:rFonts w:ascii="彩虹小标宋" w:eastAsia="彩虹小标宋" w:hAnsi="彩虹小标宋" w:cs="彩虹小标宋"/>
                <w:szCs w:val="21"/>
              </w:rPr>
            </w:pPr>
            <w:r>
              <w:rPr>
                <w:rFonts w:ascii="彩虹小标宋" w:eastAsia="彩虹小标宋" w:hAnsi="彩虹小标宋" w:cs="彩虹小标宋" w:hint="eastAsia"/>
                <w:szCs w:val="21"/>
              </w:rPr>
              <w:t>本产品在赎回开放日后</w:t>
            </w:r>
            <w:r>
              <w:rPr>
                <w:rFonts w:ascii="彩虹小标宋" w:eastAsia="彩虹小标宋" w:hAnsi="彩虹小标宋" w:cs="彩虹小标宋" w:hint="eastAsia"/>
                <w:color w:val="000000" w:themeColor="text1"/>
                <w:szCs w:val="21"/>
              </w:rPr>
              <w:t>第一个</w:t>
            </w:r>
            <w:r>
              <w:rPr>
                <w:rFonts w:ascii="彩虹小标宋" w:eastAsia="彩虹小标宋" w:hAnsi="彩虹小标宋" w:cs="彩虹小标宋" w:hint="eastAsia"/>
                <w:b/>
                <w:bCs/>
                <w:color w:val="000000" w:themeColor="text1"/>
                <w:szCs w:val="21"/>
              </w:rPr>
              <w:t>工作</w:t>
            </w:r>
            <w:r>
              <w:rPr>
                <w:rFonts w:ascii="彩虹小标宋" w:eastAsia="彩虹小标宋" w:hAnsi="彩虹小标宋" w:cs="彩虹小标宋" w:hint="eastAsia"/>
                <w:b/>
                <w:bCs/>
                <w:color w:val="000000" w:themeColor="text1"/>
                <w:szCs w:val="21"/>
              </w:rPr>
              <w:t>日</w:t>
            </w:r>
            <w:r>
              <w:rPr>
                <w:rFonts w:ascii="彩虹小标宋" w:eastAsia="彩虹小标宋" w:hAnsi="彩虹小标宋" w:cs="彩虹小标宋" w:hint="eastAsia"/>
                <w:color w:val="000000" w:themeColor="text1"/>
                <w:szCs w:val="21"/>
              </w:rPr>
              <w:t>（</w:t>
            </w:r>
            <w:r>
              <w:rPr>
                <w:rFonts w:ascii="彩虹小标宋" w:eastAsia="彩虹小标宋" w:hAnsi="彩虹小标宋" w:cs="彩虹小标宋" w:hint="eastAsia"/>
                <w:color w:val="000000" w:themeColor="text1"/>
                <w:szCs w:val="21"/>
              </w:rPr>
              <w:t>T+1</w:t>
            </w:r>
            <w:r>
              <w:rPr>
                <w:rFonts w:ascii="彩虹小标宋" w:eastAsia="彩虹小标宋" w:hAnsi="彩虹小标宋" w:cs="彩虹小标宋" w:hint="eastAsia"/>
                <w:color w:val="000000" w:themeColor="text1"/>
                <w:szCs w:val="21"/>
              </w:rPr>
              <w:t>日）</w:t>
            </w:r>
            <w:r>
              <w:rPr>
                <w:rFonts w:ascii="彩虹小标宋" w:eastAsia="彩虹小标宋" w:hAnsi="彩虹小标宋" w:cs="彩虹小标宋" w:hint="eastAsia"/>
                <w:szCs w:val="21"/>
              </w:rPr>
              <w:t>对赎回申请的有效性进行确认，并完成赎回资金到账。</w:t>
            </w:r>
          </w:p>
        </w:tc>
      </w:tr>
      <w:tr w:rsidR="00ED7558" w14:paraId="16961908" w14:textId="77777777">
        <w:trPr>
          <w:trHeight w:val="1164"/>
          <w:jc w:val="center"/>
        </w:trPr>
        <w:tc>
          <w:tcPr>
            <w:tcW w:w="1064" w:type="pct"/>
            <w:tcBorders>
              <w:top w:val="single" w:sz="4" w:space="0" w:color="auto"/>
              <w:left w:val="single" w:sz="4" w:space="0" w:color="auto"/>
              <w:bottom w:val="single" w:sz="4" w:space="0" w:color="auto"/>
            </w:tcBorders>
            <w:vAlign w:val="center"/>
          </w:tcPr>
          <w:p w14:paraId="0C208138" w14:textId="77777777" w:rsidR="00ED7558" w:rsidRDefault="006F5FC1">
            <w:pPr>
              <w:jc w:val="center"/>
              <w:rPr>
                <w:rFonts w:ascii="彩虹小标宋" w:eastAsia="彩虹小标宋" w:hAnsi="彩虹小标宋" w:cs="彩虹小标宋"/>
                <w:kern w:val="0"/>
                <w:szCs w:val="21"/>
              </w:rPr>
            </w:pPr>
            <w:r>
              <w:rPr>
                <w:rFonts w:ascii="彩虹小标宋" w:eastAsia="彩虹小标宋" w:hAnsi="彩虹小标宋" w:cs="彩虹小标宋" w:hint="eastAsia"/>
                <w:kern w:val="0"/>
                <w:szCs w:val="21"/>
              </w:rPr>
              <w:t>建信理财嘉鑫（稳利）固收类最低持有</w:t>
            </w:r>
            <w:r>
              <w:rPr>
                <w:rFonts w:ascii="彩虹小标宋" w:eastAsia="彩虹小标宋" w:hAnsi="彩虹小标宋" w:cs="彩虹小标宋" w:hint="eastAsia"/>
                <w:kern w:val="0"/>
                <w:szCs w:val="21"/>
              </w:rPr>
              <w:t>14</w:t>
            </w:r>
            <w:r>
              <w:rPr>
                <w:rFonts w:ascii="彩虹小标宋" w:eastAsia="彩虹小标宋" w:hAnsi="彩虹小标宋" w:cs="彩虹小标宋" w:hint="eastAsia"/>
                <w:kern w:val="0"/>
                <w:szCs w:val="21"/>
              </w:rPr>
              <w:t>天产品第</w:t>
            </w:r>
            <w:r>
              <w:rPr>
                <w:rFonts w:ascii="彩虹小标宋" w:eastAsia="彩虹小标宋" w:hAnsi="彩虹小标宋" w:cs="彩虹小标宋" w:hint="eastAsia"/>
                <w:kern w:val="0"/>
                <w:szCs w:val="21"/>
              </w:rPr>
              <w:t>20</w:t>
            </w:r>
            <w:r>
              <w:rPr>
                <w:rFonts w:ascii="彩虹小标宋" w:eastAsia="彩虹小标宋" w:hAnsi="彩虹小标宋" w:cs="彩虹小标宋" w:hint="eastAsia"/>
                <w:kern w:val="0"/>
                <w:szCs w:val="21"/>
              </w:rPr>
              <w:t>期</w:t>
            </w:r>
          </w:p>
        </w:tc>
        <w:tc>
          <w:tcPr>
            <w:tcW w:w="1102" w:type="pct"/>
            <w:tcBorders>
              <w:top w:val="single" w:sz="4" w:space="0" w:color="auto"/>
              <w:bottom w:val="single" w:sz="4" w:space="0" w:color="auto"/>
            </w:tcBorders>
            <w:vAlign w:val="center"/>
          </w:tcPr>
          <w:p w14:paraId="580B1A92" w14:textId="77777777" w:rsidR="00ED7558" w:rsidRDefault="006F5FC1">
            <w:pPr>
              <w:spacing w:line="256" w:lineRule="auto"/>
              <w:jc w:val="center"/>
              <w:rPr>
                <w:rFonts w:ascii="彩虹小标宋" w:eastAsia="彩虹小标宋" w:hAnsi="彩虹小标宋" w:cs="彩虹小标宋"/>
                <w:szCs w:val="21"/>
              </w:rPr>
            </w:pPr>
            <w:r>
              <w:rPr>
                <w:rFonts w:ascii="彩虹小标宋" w:eastAsia="彩虹小标宋" w:hAnsi="彩虹小标宋" w:cs="彩虹小标宋" w:hint="eastAsia"/>
                <w:szCs w:val="21"/>
              </w:rPr>
              <w:t>Z7000725001174</w:t>
            </w:r>
          </w:p>
        </w:tc>
        <w:tc>
          <w:tcPr>
            <w:tcW w:w="1416" w:type="pct"/>
            <w:vMerge/>
            <w:tcMar>
              <w:top w:w="0" w:type="dxa"/>
              <w:left w:w="108" w:type="dxa"/>
              <w:bottom w:w="0" w:type="dxa"/>
              <w:right w:w="108" w:type="dxa"/>
            </w:tcMar>
            <w:vAlign w:val="center"/>
          </w:tcPr>
          <w:p w14:paraId="2352823F" w14:textId="77777777" w:rsidR="00ED7558" w:rsidRDefault="00ED7558">
            <w:pPr>
              <w:rPr>
                <w:rFonts w:ascii="宋体" w:eastAsia="宋体" w:hAnsi="宋体" w:cs="宋体"/>
                <w:szCs w:val="21"/>
              </w:rPr>
            </w:pPr>
          </w:p>
        </w:tc>
        <w:tc>
          <w:tcPr>
            <w:tcW w:w="1416" w:type="pct"/>
            <w:vMerge/>
            <w:tcBorders>
              <w:right w:val="single" w:sz="4" w:space="0" w:color="auto"/>
            </w:tcBorders>
            <w:tcMar>
              <w:top w:w="0" w:type="dxa"/>
              <w:left w:w="108" w:type="dxa"/>
              <w:bottom w:w="0" w:type="dxa"/>
              <w:right w:w="108" w:type="dxa"/>
            </w:tcMar>
            <w:vAlign w:val="center"/>
          </w:tcPr>
          <w:p w14:paraId="6C898087" w14:textId="77777777" w:rsidR="00ED7558" w:rsidRDefault="00ED7558">
            <w:pPr>
              <w:rPr>
                <w:rFonts w:ascii="宋体" w:eastAsia="宋体" w:hAnsi="宋体" w:cs="宋体"/>
                <w:szCs w:val="21"/>
              </w:rPr>
            </w:pPr>
          </w:p>
        </w:tc>
      </w:tr>
      <w:tr w:rsidR="00ED7558" w14:paraId="6A9B8D1A" w14:textId="77777777">
        <w:trPr>
          <w:trHeight w:val="1242"/>
          <w:jc w:val="center"/>
        </w:trPr>
        <w:tc>
          <w:tcPr>
            <w:tcW w:w="1064" w:type="pct"/>
            <w:tcBorders>
              <w:top w:val="single" w:sz="4" w:space="0" w:color="auto"/>
              <w:left w:val="single" w:sz="4" w:space="0" w:color="auto"/>
              <w:bottom w:val="single" w:sz="4" w:space="0" w:color="auto"/>
            </w:tcBorders>
            <w:vAlign w:val="center"/>
          </w:tcPr>
          <w:p w14:paraId="144C4D18" w14:textId="77777777" w:rsidR="00ED7558" w:rsidRDefault="006F5FC1">
            <w:pPr>
              <w:jc w:val="center"/>
              <w:rPr>
                <w:rFonts w:ascii="彩虹小标宋" w:eastAsia="彩虹小标宋" w:hAnsi="彩虹小标宋" w:cs="彩虹小标宋"/>
                <w:kern w:val="0"/>
                <w:szCs w:val="21"/>
              </w:rPr>
            </w:pPr>
            <w:r>
              <w:rPr>
                <w:rFonts w:ascii="彩虹小标宋" w:eastAsia="彩虹小标宋" w:hAnsi="彩虹小标宋" w:cs="彩虹小标宋" w:hint="eastAsia"/>
                <w:kern w:val="0"/>
                <w:szCs w:val="21"/>
              </w:rPr>
              <w:t>建信理财嘉鑫（稳利）固收类最低持有</w:t>
            </w:r>
            <w:r>
              <w:rPr>
                <w:rFonts w:ascii="彩虹小标宋" w:eastAsia="彩虹小标宋" w:hAnsi="彩虹小标宋" w:cs="彩虹小标宋" w:hint="eastAsia"/>
                <w:kern w:val="0"/>
                <w:szCs w:val="21"/>
              </w:rPr>
              <w:t>30</w:t>
            </w:r>
            <w:r>
              <w:rPr>
                <w:rFonts w:ascii="彩虹小标宋" w:eastAsia="彩虹小标宋" w:hAnsi="彩虹小标宋" w:cs="彩虹小标宋" w:hint="eastAsia"/>
                <w:kern w:val="0"/>
                <w:szCs w:val="21"/>
              </w:rPr>
              <w:t>天产品第</w:t>
            </w:r>
            <w:r>
              <w:rPr>
                <w:rFonts w:ascii="彩虹小标宋" w:eastAsia="彩虹小标宋" w:hAnsi="彩虹小标宋" w:cs="彩虹小标宋" w:hint="eastAsia"/>
                <w:kern w:val="0"/>
                <w:szCs w:val="21"/>
              </w:rPr>
              <w:t>29</w:t>
            </w:r>
            <w:r>
              <w:rPr>
                <w:rFonts w:ascii="彩虹小标宋" w:eastAsia="彩虹小标宋" w:hAnsi="彩虹小标宋" w:cs="彩虹小标宋" w:hint="eastAsia"/>
                <w:kern w:val="0"/>
                <w:szCs w:val="21"/>
              </w:rPr>
              <w:t>期</w:t>
            </w:r>
          </w:p>
        </w:tc>
        <w:tc>
          <w:tcPr>
            <w:tcW w:w="1102" w:type="pct"/>
            <w:tcBorders>
              <w:top w:val="single" w:sz="4" w:space="0" w:color="auto"/>
              <w:bottom w:val="single" w:sz="4" w:space="0" w:color="auto"/>
            </w:tcBorders>
            <w:vAlign w:val="center"/>
          </w:tcPr>
          <w:p w14:paraId="34A11276" w14:textId="77777777" w:rsidR="00ED7558" w:rsidRDefault="006F5FC1">
            <w:pPr>
              <w:spacing w:line="256" w:lineRule="auto"/>
              <w:jc w:val="center"/>
              <w:rPr>
                <w:rFonts w:ascii="彩虹小标宋" w:eastAsia="彩虹小标宋" w:hAnsi="彩虹小标宋" w:cs="彩虹小标宋"/>
                <w:szCs w:val="21"/>
              </w:rPr>
            </w:pPr>
            <w:r>
              <w:rPr>
                <w:rFonts w:ascii="彩虹小标宋" w:eastAsia="彩虹小标宋" w:hAnsi="彩虹小标宋" w:cs="彩虹小标宋" w:hint="eastAsia"/>
                <w:szCs w:val="21"/>
              </w:rPr>
              <w:t>Z7000725001442</w:t>
            </w:r>
          </w:p>
        </w:tc>
        <w:tc>
          <w:tcPr>
            <w:tcW w:w="1416" w:type="pct"/>
            <w:vMerge/>
            <w:tcMar>
              <w:top w:w="0" w:type="dxa"/>
              <w:left w:w="108" w:type="dxa"/>
              <w:bottom w:w="0" w:type="dxa"/>
              <w:right w:w="108" w:type="dxa"/>
            </w:tcMar>
            <w:vAlign w:val="center"/>
          </w:tcPr>
          <w:p w14:paraId="021E0E68" w14:textId="77777777" w:rsidR="00ED7558" w:rsidRDefault="00ED7558">
            <w:pPr>
              <w:rPr>
                <w:rFonts w:ascii="宋体" w:eastAsia="宋体" w:hAnsi="宋体" w:cs="宋体"/>
                <w:szCs w:val="21"/>
              </w:rPr>
            </w:pPr>
          </w:p>
        </w:tc>
        <w:tc>
          <w:tcPr>
            <w:tcW w:w="1416" w:type="pct"/>
            <w:vMerge/>
            <w:tcBorders>
              <w:right w:val="single" w:sz="4" w:space="0" w:color="auto"/>
            </w:tcBorders>
            <w:tcMar>
              <w:top w:w="0" w:type="dxa"/>
              <w:left w:w="108" w:type="dxa"/>
              <w:bottom w:w="0" w:type="dxa"/>
              <w:right w:w="108" w:type="dxa"/>
            </w:tcMar>
            <w:vAlign w:val="center"/>
          </w:tcPr>
          <w:p w14:paraId="16214440" w14:textId="77777777" w:rsidR="00ED7558" w:rsidRDefault="00ED7558">
            <w:pPr>
              <w:rPr>
                <w:rFonts w:ascii="宋体" w:eastAsia="宋体" w:hAnsi="宋体" w:cs="宋体"/>
                <w:szCs w:val="21"/>
              </w:rPr>
            </w:pPr>
          </w:p>
        </w:tc>
      </w:tr>
      <w:tr w:rsidR="00ED7558" w14:paraId="6C57235B" w14:textId="77777777">
        <w:trPr>
          <w:trHeight w:val="1215"/>
          <w:jc w:val="center"/>
        </w:trPr>
        <w:tc>
          <w:tcPr>
            <w:tcW w:w="1064" w:type="pct"/>
            <w:tcBorders>
              <w:top w:val="single" w:sz="4" w:space="0" w:color="auto"/>
              <w:left w:val="single" w:sz="4" w:space="0" w:color="auto"/>
              <w:bottom w:val="single" w:sz="4" w:space="0" w:color="auto"/>
            </w:tcBorders>
            <w:vAlign w:val="center"/>
          </w:tcPr>
          <w:p w14:paraId="70BB1347" w14:textId="77777777" w:rsidR="00ED7558" w:rsidRDefault="006F5FC1">
            <w:pPr>
              <w:jc w:val="center"/>
              <w:rPr>
                <w:rFonts w:ascii="彩虹小标宋" w:eastAsia="彩虹小标宋" w:hAnsi="彩虹小标宋" w:cs="彩虹小标宋"/>
                <w:kern w:val="0"/>
                <w:szCs w:val="21"/>
              </w:rPr>
            </w:pPr>
            <w:r>
              <w:rPr>
                <w:rFonts w:ascii="彩虹小标宋" w:eastAsia="彩虹小标宋" w:hAnsi="彩虹小标宋" w:cs="彩虹小标宋" w:hint="eastAsia"/>
                <w:kern w:val="0"/>
                <w:szCs w:val="21"/>
              </w:rPr>
              <w:t>建信理财嘉鑫固收类最低持有</w:t>
            </w:r>
            <w:r>
              <w:rPr>
                <w:rFonts w:ascii="彩虹小标宋" w:eastAsia="彩虹小标宋" w:hAnsi="彩虹小标宋" w:cs="彩虹小标宋" w:hint="eastAsia"/>
                <w:kern w:val="0"/>
                <w:szCs w:val="21"/>
              </w:rPr>
              <w:t>90</w:t>
            </w:r>
            <w:r>
              <w:rPr>
                <w:rFonts w:ascii="彩虹小标宋" w:eastAsia="彩虹小标宋" w:hAnsi="彩虹小标宋" w:cs="彩虹小标宋" w:hint="eastAsia"/>
                <w:kern w:val="0"/>
                <w:szCs w:val="21"/>
              </w:rPr>
              <w:t>天产品第</w:t>
            </w:r>
            <w:r>
              <w:rPr>
                <w:rFonts w:ascii="彩虹小标宋" w:eastAsia="彩虹小标宋" w:hAnsi="彩虹小标宋" w:cs="彩虹小标宋" w:hint="eastAsia"/>
                <w:kern w:val="0"/>
                <w:szCs w:val="21"/>
              </w:rPr>
              <w:t>11</w:t>
            </w:r>
            <w:r>
              <w:rPr>
                <w:rFonts w:ascii="彩虹小标宋" w:eastAsia="彩虹小标宋" w:hAnsi="彩虹小标宋" w:cs="彩虹小标宋" w:hint="eastAsia"/>
                <w:kern w:val="0"/>
                <w:szCs w:val="21"/>
              </w:rPr>
              <w:t>期</w:t>
            </w:r>
          </w:p>
        </w:tc>
        <w:tc>
          <w:tcPr>
            <w:tcW w:w="1102" w:type="pct"/>
            <w:tcBorders>
              <w:top w:val="single" w:sz="4" w:space="0" w:color="auto"/>
              <w:bottom w:val="single" w:sz="4" w:space="0" w:color="auto"/>
            </w:tcBorders>
            <w:vAlign w:val="center"/>
          </w:tcPr>
          <w:p w14:paraId="7D0B8E9F" w14:textId="77777777" w:rsidR="00ED7558" w:rsidRDefault="006F5FC1">
            <w:pPr>
              <w:spacing w:line="256" w:lineRule="auto"/>
              <w:jc w:val="center"/>
              <w:rPr>
                <w:rFonts w:ascii="彩虹小标宋" w:eastAsia="彩虹小标宋" w:hAnsi="彩虹小标宋" w:cs="彩虹小标宋"/>
                <w:szCs w:val="21"/>
              </w:rPr>
            </w:pPr>
            <w:r>
              <w:rPr>
                <w:rFonts w:ascii="彩虹小标宋" w:eastAsia="彩虹小标宋" w:hAnsi="彩虹小标宋" w:cs="彩虹小标宋" w:hint="eastAsia"/>
                <w:szCs w:val="21"/>
              </w:rPr>
              <w:t>Z7000725000774</w:t>
            </w:r>
          </w:p>
        </w:tc>
        <w:tc>
          <w:tcPr>
            <w:tcW w:w="1416" w:type="pct"/>
            <w:vMerge/>
            <w:tcBorders>
              <w:bottom w:val="single" w:sz="4" w:space="0" w:color="auto"/>
            </w:tcBorders>
            <w:tcMar>
              <w:top w:w="0" w:type="dxa"/>
              <w:left w:w="108" w:type="dxa"/>
              <w:bottom w:w="0" w:type="dxa"/>
              <w:right w:w="108" w:type="dxa"/>
            </w:tcMar>
            <w:vAlign w:val="center"/>
          </w:tcPr>
          <w:p w14:paraId="2D7321F9" w14:textId="77777777" w:rsidR="00ED7558" w:rsidRDefault="00ED7558">
            <w:pPr>
              <w:rPr>
                <w:rFonts w:ascii="宋体" w:eastAsia="宋体" w:hAnsi="宋体" w:cs="宋体"/>
                <w:szCs w:val="21"/>
              </w:rPr>
            </w:pPr>
          </w:p>
        </w:tc>
        <w:tc>
          <w:tcPr>
            <w:tcW w:w="1416" w:type="pct"/>
            <w:vMerge/>
            <w:tcBorders>
              <w:bottom w:val="single" w:sz="4" w:space="0" w:color="auto"/>
              <w:right w:val="single" w:sz="4" w:space="0" w:color="auto"/>
            </w:tcBorders>
            <w:tcMar>
              <w:top w:w="0" w:type="dxa"/>
              <w:left w:w="108" w:type="dxa"/>
              <w:bottom w:w="0" w:type="dxa"/>
              <w:right w:w="108" w:type="dxa"/>
            </w:tcMar>
            <w:vAlign w:val="center"/>
          </w:tcPr>
          <w:p w14:paraId="2433BF5B" w14:textId="77777777" w:rsidR="00ED7558" w:rsidRDefault="00ED7558">
            <w:pPr>
              <w:rPr>
                <w:rFonts w:ascii="宋体" w:eastAsia="宋体" w:hAnsi="宋体" w:cs="宋体"/>
                <w:szCs w:val="21"/>
              </w:rPr>
            </w:pPr>
          </w:p>
        </w:tc>
      </w:tr>
    </w:tbl>
    <w:p w14:paraId="403E92A0" w14:textId="77777777" w:rsidR="00ED7558" w:rsidRDefault="00ED7558">
      <w:pPr>
        <w:spacing w:afterLines="50" w:after="156" w:line="560" w:lineRule="exact"/>
        <w:rPr>
          <w:rFonts w:ascii="彩虹粗仿宋" w:eastAsia="彩虹粗仿宋"/>
          <w:sz w:val="32"/>
          <w:szCs w:val="32"/>
        </w:rPr>
      </w:pPr>
    </w:p>
    <w:p w14:paraId="5E035A56" w14:textId="77777777" w:rsidR="00ED7558" w:rsidRDefault="006F5FC1">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建信理财有限责任公司将本着专业尽职的原则持续为您提供专业化理财服务。</w:t>
      </w:r>
      <w:bookmarkStart w:id="0" w:name="_GoBack"/>
      <w:bookmarkEnd w:id="0"/>
    </w:p>
    <w:p w14:paraId="24E369F8" w14:textId="77777777" w:rsidR="00ED7558" w:rsidRDefault="006F5FC1">
      <w:pPr>
        <w:spacing w:line="560" w:lineRule="exact"/>
        <w:ind w:firstLineChars="200" w:firstLine="640"/>
        <w:rPr>
          <w:rFonts w:ascii="彩虹粗仿宋" w:eastAsia="彩虹粗仿宋"/>
          <w:sz w:val="32"/>
          <w:szCs w:val="32"/>
        </w:rPr>
      </w:pPr>
      <w:r>
        <w:rPr>
          <w:rFonts w:ascii="彩虹粗仿宋" w:eastAsia="彩虹粗仿宋" w:hint="eastAsia"/>
          <w:sz w:val="32"/>
          <w:szCs w:val="32"/>
        </w:rPr>
        <w:t>特此公告。</w:t>
      </w:r>
    </w:p>
    <w:p w14:paraId="6365D7F5" w14:textId="77777777" w:rsidR="00ED7558" w:rsidRDefault="00ED7558">
      <w:pPr>
        <w:spacing w:line="560" w:lineRule="exact"/>
        <w:ind w:firstLineChars="200" w:firstLine="640"/>
        <w:rPr>
          <w:rFonts w:ascii="彩虹粗仿宋" w:eastAsia="彩虹粗仿宋"/>
          <w:sz w:val="32"/>
          <w:szCs w:val="32"/>
        </w:rPr>
      </w:pPr>
    </w:p>
    <w:p w14:paraId="079C2345" w14:textId="77777777" w:rsidR="00ED7558" w:rsidRDefault="00ED7558">
      <w:pPr>
        <w:spacing w:line="560" w:lineRule="exact"/>
        <w:ind w:firstLineChars="200" w:firstLine="640"/>
        <w:rPr>
          <w:rFonts w:ascii="彩虹粗仿宋" w:eastAsia="彩虹粗仿宋"/>
          <w:sz w:val="32"/>
          <w:szCs w:val="32"/>
        </w:rPr>
      </w:pPr>
    </w:p>
    <w:p w14:paraId="20048943" w14:textId="77777777" w:rsidR="00ED7558" w:rsidRDefault="006F5FC1">
      <w:pPr>
        <w:spacing w:line="560" w:lineRule="exact"/>
        <w:ind w:firstLineChars="200" w:firstLine="640"/>
        <w:jc w:val="right"/>
        <w:rPr>
          <w:rFonts w:ascii="彩虹粗仿宋" w:eastAsia="彩虹粗仿宋"/>
          <w:sz w:val="32"/>
          <w:szCs w:val="32"/>
        </w:rPr>
      </w:pPr>
      <w:r>
        <w:rPr>
          <w:rFonts w:ascii="彩虹粗仿宋" w:eastAsia="彩虹粗仿宋" w:hint="eastAsia"/>
          <w:sz w:val="32"/>
          <w:szCs w:val="32"/>
        </w:rPr>
        <w:t xml:space="preserve">  </w:t>
      </w:r>
      <w:r>
        <w:rPr>
          <w:rFonts w:ascii="彩虹粗仿宋" w:eastAsia="彩虹粗仿宋"/>
          <w:sz w:val="32"/>
          <w:szCs w:val="32"/>
        </w:rPr>
        <w:t xml:space="preserve">                        </w:t>
      </w:r>
      <w:r>
        <w:rPr>
          <w:rFonts w:ascii="彩虹粗仿宋" w:eastAsia="彩虹粗仿宋" w:hint="eastAsia"/>
          <w:sz w:val="32"/>
          <w:szCs w:val="32"/>
        </w:rPr>
        <w:t xml:space="preserve"> </w:t>
      </w:r>
      <w:r>
        <w:rPr>
          <w:rFonts w:ascii="彩虹粗仿宋" w:eastAsia="彩虹粗仿宋" w:hint="eastAsia"/>
          <w:sz w:val="32"/>
          <w:szCs w:val="32"/>
        </w:rPr>
        <w:t>建信理财有限责任公司</w:t>
      </w:r>
    </w:p>
    <w:p w14:paraId="2645096A" w14:textId="67179D8B" w:rsidR="00ED7558" w:rsidRDefault="006F5FC1">
      <w:pPr>
        <w:spacing w:line="560" w:lineRule="exact"/>
        <w:ind w:firstLineChars="1700" w:firstLine="5440"/>
        <w:jc w:val="right"/>
        <w:rPr>
          <w:rFonts w:ascii="彩虹粗仿宋" w:eastAsia="彩虹粗仿宋"/>
          <w:sz w:val="32"/>
          <w:szCs w:val="32"/>
        </w:rPr>
      </w:pPr>
      <w:r>
        <w:rPr>
          <w:rFonts w:ascii="彩虹粗仿宋" w:eastAsia="彩虹粗仿宋" w:hint="eastAsia"/>
          <w:sz w:val="32"/>
          <w:szCs w:val="32"/>
        </w:rPr>
        <w:t>2026</w:t>
      </w:r>
      <w:r>
        <w:rPr>
          <w:rFonts w:ascii="彩虹粗仿宋" w:eastAsia="彩虹粗仿宋" w:hint="eastAsia"/>
          <w:sz w:val="32"/>
          <w:szCs w:val="32"/>
        </w:rPr>
        <w:t>年</w:t>
      </w:r>
      <w:r>
        <w:rPr>
          <w:rFonts w:ascii="彩虹粗仿宋" w:eastAsia="彩虹粗仿宋" w:hint="eastAsia"/>
          <w:sz w:val="32"/>
          <w:szCs w:val="32"/>
        </w:rPr>
        <w:t>4</w:t>
      </w:r>
      <w:r>
        <w:rPr>
          <w:rFonts w:ascii="彩虹粗仿宋" w:eastAsia="彩虹粗仿宋" w:hint="eastAsia"/>
          <w:sz w:val="32"/>
          <w:szCs w:val="32"/>
        </w:rPr>
        <w:t>月</w:t>
      </w:r>
      <w:r>
        <w:rPr>
          <w:rFonts w:ascii="彩虹粗仿宋" w:eastAsia="彩虹粗仿宋"/>
          <w:sz w:val="32"/>
          <w:szCs w:val="32"/>
        </w:rPr>
        <w:t>20</w:t>
      </w:r>
      <w:r>
        <w:rPr>
          <w:rFonts w:ascii="彩虹粗仿宋" w:eastAsia="彩虹粗仿宋" w:hint="eastAsia"/>
          <w:sz w:val="32"/>
          <w:szCs w:val="32"/>
        </w:rPr>
        <w:t>日</w:t>
      </w:r>
    </w:p>
    <w:sectPr w:rsidR="00ED75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2C74"/>
    <w:rsid w:val="00066939"/>
    <w:rsid w:val="001428A6"/>
    <w:rsid w:val="001857BC"/>
    <w:rsid w:val="00185B11"/>
    <w:rsid w:val="0019582C"/>
    <w:rsid w:val="001C381B"/>
    <w:rsid w:val="001C3A7B"/>
    <w:rsid w:val="001E48B8"/>
    <w:rsid w:val="001F3AE1"/>
    <w:rsid w:val="00205C8A"/>
    <w:rsid w:val="00206F79"/>
    <w:rsid w:val="00214562"/>
    <w:rsid w:val="00225859"/>
    <w:rsid w:val="002532EE"/>
    <w:rsid w:val="00272D68"/>
    <w:rsid w:val="002A0A2D"/>
    <w:rsid w:val="002D3336"/>
    <w:rsid w:val="002E3ECE"/>
    <w:rsid w:val="002F2DAA"/>
    <w:rsid w:val="003171F2"/>
    <w:rsid w:val="00317C41"/>
    <w:rsid w:val="00326FE7"/>
    <w:rsid w:val="003357F0"/>
    <w:rsid w:val="003C5294"/>
    <w:rsid w:val="003D7CFA"/>
    <w:rsid w:val="004964F0"/>
    <w:rsid w:val="004B40CC"/>
    <w:rsid w:val="004C0C5D"/>
    <w:rsid w:val="004F0EE2"/>
    <w:rsid w:val="00505B5C"/>
    <w:rsid w:val="005158E6"/>
    <w:rsid w:val="00586B28"/>
    <w:rsid w:val="005A0F9C"/>
    <w:rsid w:val="005F5AE8"/>
    <w:rsid w:val="00603E40"/>
    <w:rsid w:val="0064427A"/>
    <w:rsid w:val="006548A0"/>
    <w:rsid w:val="00654A55"/>
    <w:rsid w:val="0066655D"/>
    <w:rsid w:val="006674CF"/>
    <w:rsid w:val="0067161F"/>
    <w:rsid w:val="0068278D"/>
    <w:rsid w:val="006912E0"/>
    <w:rsid w:val="006A63AD"/>
    <w:rsid w:val="006F518C"/>
    <w:rsid w:val="006F5FC1"/>
    <w:rsid w:val="00720CD0"/>
    <w:rsid w:val="007404F3"/>
    <w:rsid w:val="00760000"/>
    <w:rsid w:val="0076079D"/>
    <w:rsid w:val="00780F7C"/>
    <w:rsid w:val="00792813"/>
    <w:rsid w:val="0079599F"/>
    <w:rsid w:val="007A10FA"/>
    <w:rsid w:val="007C0139"/>
    <w:rsid w:val="007C1916"/>
    <w:rsid w:val="007C33BC"/>
    <w:rsid w:val="007C3955"/>
    <w:rsid w:val="007F3A39"/>
    <w:rsid w:val="00811669"/>
    <w:rsid w:val="008337A9"/>
    <w:rsid w:val="008852F8"/>
    <w:rsid w:val="008907D7"/>
    <w:rsid w:val="008A3A86"/>
    <w:rsid w:val="008B2407"/>
    <w:rsid w:val="008C5B63"/>
    <w:rsid w:val="008C5E52"/>
    <w:rsid w:val="008F7202"/>
    <w:rsid w:val="00905D50"/>
    <w:rsid w:val="009101AB"/>
    <w:rsid w:val="009206C0"/>
    <w:rsid w:val="009704A5"/>
    <w:rsid w:val="009712AB"/>
    <w:rsid w:val="009B037B"/>
    <w:rsid w:val="00A27E25"/>
    <w:rsid w:val="00A412B1"/>
    <w:rsid w:val="00A60679"/>
    <w:rsid w:val="00A97492"/>
    <w:rsid w:val="00AA3B53"/>
    <w:rsid w:val="00B8546A"/>
    <w:rsid w:val="00B9464E"/>
    <w:rsid w:val="00BA47A7"/>
    <w:rsid w:val="00BD576B"/>
    <w:rsid w:val="00C034CF"/>
    <w:rsid w:val="00C21A9A"/>
    <w:rsid w:val="00C406D4"/>
    <w:rsid w:val="00C504AE"/>
    <w:rsid w:val="00C55F1B"/>
    <w:rsid w:val="00CB2567"/>
    <w:rsid w:val="00CE5F95"/>
    <w:rsid w:val="00D15B3B"/>
    <w:rsid w:val="00D74827"/>
    <w:rsid w:val="00D806D9"/>
    <w:rsid w:val="00DB6005"/>
    <w:rsid w:val="00DD228E"/>
    <w:rsid w:val="00E10519"/>
    <w:rsid w:val="00E33E2A"/>
    <w:rsid w:val="00E64DEE"/>
    <w:rsid w:val="00E846D8"/>
    <w:rsid w:val="00EA6AD7"/>
    <w:rsid w:val="00EC5809"/>
    <w:rsid w:val="00ED7558"/>
    <w:rsid w:val="00F31745"/>
    <w:rsid w:val="00F336DE"/>
    <w:rsid w:val="00F4327F"/>
    <w:rsid w:val="00F50AB1"/>
    <w:rsid w:val="00F73D21"/>
    <w:rsid w:val="00FB504D"/>
    <w:rsid w:val="00FE1C5E"/>
    <w:rsid w:val="02E0612A"/>
    <w:rsid w:val="035E1631"/>
    <w:rsid w:val="070E313E"/>
    <w:rsid w:val="07350CA8"/>
    <w:rsid w:val="09257910"/>
    <w:rsid w:val="0987307F"/>
    <w:rsid w:val="098F08D1"/>
    <w:rsid w:val="0C79426C"/>
    <w:rsid w:val="0D2B4F84"/>
    <w:rsid w:val="0D68536C"/>
    <w:rsid w:val="0E9C7988"/>
    <w:rsid w:val="0F8B5CA9"/>
    <w:rsid w:val="11544F10"/>
    <w:rsid w:val="11AA0B06"/>
    <w:rsid w:val="126D0AE3"/>
    <w:rsid w:val="17770477"/>
    <w:rsid w:val="178F3168"/>
    <w:rsid w:val="18A40141"/>
    <w:rsid w:val="1C9902E1"/>
    <w:rsid w:val="20324D08"/>
    <w:rsid w:val="24072EE7"/>
    <w:rsid w:val="285E03C4"/>
    <w:rsid w:val="2E9E1850"/>
    <w:rsid w:val="30361181"/>
    <w:rsid w:val="34FD0C24"/>
    <w:rsid w:val="38383CF8"/>
    <w:rsid w:val="390B3E87"/>
    <w:rsid w:val="391110CE"/>
    <w:rsid w:val="3A8D195C"/>
    <w:rsid w:val="3B480E17"/>
    <w:rsid w:val="42476802"/>
    <w:rsid w:val="43D45D88"/>
    <w:rsid w:val="455410FD"/>
    <w:rsid w:val="47640CEC"/>
    <w:rsid w:val="4F595D1F"/>
    <w:rsid w:val="56007508"/>
    <w:rsid w:val="5A5C063B"/>
    <w:rsid w:val="5C983B06"/>
    <w:rsid w:val="5F6D1A9C"/>
    <w:rsid w:val="66414EE1"/>
    <w:rsid w:val="7023338B"/>
    <w:rsid w:val="70934D31"/>
    <w:rsid w:val="71240003"/>
    <w:rsid w:val="71716B9F"/>
    <w:rsid w:val="73326FA2"/>
    <w:rsid w:val="746C0ADE"/>
    <w:rsid w:val="783F086B"/>
    <w:rsid w:val="78666EC3"/>
    <w:rsid w:val="7C48077E"/>
    <w:rsid w:val="7CD12A58"/>
    <w:rsid w:val="7D29533D"/>
    <w:rsid w:val="7DC83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A770"/>
  <w15:docId w15:val="{58AC2072-928D-4FEE-A84D-7E13828A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产品管理部</dc:creator>
  <cp:lastModifiedBy>李琪</cp:lastModifiedBy>
  <cp:revision>2</cp:revision>
  <dcterms:created xsi:type="dcterms:W3CDTF">2026-04-20T07:01:00Z</dcterms:created>
  <dcterms:modified xsi:type="dcterms:W3CDTF">2026-04-20T07:01:00Z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7F786667D8B945A4A95F545BDE4DE28D_13</vt:lpwstr>
  </property>
</Properties>
</file>