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关于调整建信理财嘉鑫（稳利）固收类最低持有30天产品第26期单日申购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总</w:t>
      </w:r>
      <w:r>
        <w:rPr>
          <w:rFonts w:hint="eastAsia" w:ascii="彩虹小标宋" w:eastAsia="彩虹小标宋"/>
          <w:sz w:val="44"/>
          <w:szCs w:val="44"/>
        </w:rPr>
        <w:t>份额的公告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根据产品投资运作需要，建信理财拟调整建信理财嘉鑫（稳利）固收类最低持有30天产品第26期单日申购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总</w:t>
      </w:r>
      <w:r>
        <w:rPr>
          <w:rFonts w:hint="eastAsia" w:ascii="彩虹粗仿宋" w:eastAsia="彩虹粗仿宋"/>
          <w:sz w:val="32"/>
          <w:szCs w:val="32"/>
        </w:rPr>
        <w:t>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530"/>
        <w:gridCol w:w="2100"/>
        <w:gridCol w:w="1815"/>
        <w:gridCol w:w="1703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897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232" w:type="pct"/>
            <w:vAlign w:val="center"/>
          </w:tcPr>
          <w:p w14:paraId="06C69AC9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调整前</w:t>
            </w:r>
          </w:p>
        </w:tc>
        <w:tc>
          <w:tcPr>
            <w:tcW w:w="1064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调整后</w:t>
            </w:r>
          </w:p>
        </w:tc>
        <w:tc>
          <w:tcPr>
            <w:tcW w:w="999" w:type="pct"/>
            <w:vAlign w:val="center"/>
          </w:tcPr>
          <w:p w14:paraId="59501854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生效日期</w:t>
            </w:r>
          </w:p>
        </w:tc>
      </w:tr>
      <w:tr w14:paraId="0C1C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06" w:type="pct"/>
            <w:vAlign w:val="center"/>
          </w:tcPr>
          <w:p w14:paraId="57FC22B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建信理财嘉鑫（稳利）固收类最低持有30天产品第26期</w:t>
            </w:r>
          </w:p>
        </w:tc>
        <w:tc>
          <w:tcPr>
            <w:tcW w:w="897" w:type="pct"/>
            <w:vAlign w:val="center"/>
          </w:tcPr>
          <w:p w14:paraId="2154A60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Z7000725001375</w:t>
            </w:r>
          </w:p>
        </w:tc>
        <w:tc>
          <w:tcPr>
            <w:tcW w:w="1232" w:type="pct"/>
            <w:vAlign w:val="center"/>
          </w:tcPr>
          <w:p w14:paraId="47D16D6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A份额：不超过400万份</w:t>
            </w:r>
          </w:p>
          <w:p w14:paraId="6B500B73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B份额：不超过1</w:t>
            </w:r>
            <w:r>
              <w:rPr>
                <w:rFonts w:ascii="宋体" w:hAnsi="宋体" w:eastAsia="宋体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万份</w:t>
            </w:r>
          </w:p>
        </w:tc>
        <w:tc>
          <w:tcPr>
            <w:tcW w:w="1064" w:type="pct"/>
            <w:vAlign w:val="center"/>
          </w:tcPr>
          <w:p w14:paraId="1C3C08D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A份额：不超过0份</w:t>
            </w:r>
          </w:p>
          <w:p w14:paraId="3F80F65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B份额：不超过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份</w:t>
            </w:r>
          </w:p>
        </w:tc>
        <w:tc>
          <w:tcPr>
            <w:tcW w:w="999" w:type="pct"/>
            <w:vAlign w:val="center"/>
          </w:tcPr>
          <w:p w14:paraId="6783EF5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hint="eastAsia" w:ascii="彩虹粗仿宋" w:eastAsia="彩虹粗仿宋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  <w:bookmarkStart w:id="0" w:name="_GoBack"/>
      <w:bookmarkEnd w:id="0"/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2026年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4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27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450F6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1E4FD3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13976"/>
    <w:rsid w:val="00F31745"/>
    <w:rsid w:val="00F336DE"/>
    <w:rsid w:val="00F73D21"/>
    <w:rsid w:val="00F96F34"/>
    <w:rsid w:val="00FA7EF7"/>
    <w:rsid w:val="00FB504D"/>
    <w:rsid w:val="04AD2226"/>
    <w:rsid w:val="11AD3BE7"/>
    <w:rsid w:val="175C77F3"/>
    <w:rsid w:val="1D8F13CC"/>
    <w:rsid w:val="25261EEE"/>
    <w:rsid w:val="28157709"/>
    <w:rsid w:val="31E80AE4"/>
    <w:rsid w:val="347152FD"/>
    <w:rsid w:val="3DE25091"/>
    <w:rsid w:val="3F1F1205"/>
    <w:rsid w:val="43AF0C53"/>
    <w:rsid w:val="48F97861"/>
    <w:rsid w:val="4EF140FA"/>
    <w:rsid w:val="536409D1"/>
    <w:rsid w:val="579C19A7"/>
    <w:rsid w:val="59907209"/>
    <w:rsid w:val="686F7717"/>
    <w:rsid w:val="6CF67E82"/>
    <w:rsid w:val="6F0A014D"/>
    <w:rsid w:val="78464FF2"/>
    <w:rsid w:val="7F4C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49</Words>
  <Characters>281</Characters>
  <Lines>2</Lines>
  <Paragraphs>1</Paragraphs>
  <TotalTime>4</TotalTime>
  <ScaleCrop>false</ScaleCrop>
  <LinksUpToDate>false</LinksUpToDate>
  <CharactersWithSpaces>329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2026-04-27T02:22:54Z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9B7D128295944DA39DE51CE977B4ABC4_13</vt:lpwstr>
  </property>
</Properties>
</file>