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0C69">
      <w:pPr>
        <w:jc w:val="center"/>
        <w:rPr>
          <w:rFonts w:hint="eastAsia" w:ascii="彩虹小标宋" w:eastAsia="彩虹小标宋"/>
          <w:sz w:val="44"/>
          <w:szCs w:val="44"/>
        </w:rPr>
      </w:pPr>
      <w:r>
        <w:rPr>
          <w:rFonts w:hint="eastAsia" w:ascii="彩虹小标宋" w:eastAsia="彩虹小标宋"/>
          <w:sz w:val="44"/>
          <w:szCs w:val="44"/>
        </w:rPr>
        <w:t>关于调整建信理财嘉鑫（稳利）固收类按日开放式产品第40期限制单日申购总份额的公告</w:t>
      </w:r>
      <w:bookmarkStart w:id="0" w:name="_GoBack"/>
      <w:bookmarkEnd w:id="0"/>
    </w:p>
    <w:p w14:paraId="36C48FFA">
      <w:pPr>
        <w:rPr>
          <w:rFonts w:hint="eastAsia" w:ascii="彩虹小标宋" w:eastAsia="彩虹小标宋"/>
          <w:sz w:val="44"/>
          <w:szCs w:val="44"/>
        </w:rPr>
      </w:pPr>
    </w:p>
    <w:p w14:paraId="6F623364">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255A6E67">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为维护产品平稳运作，建信理财有限责任公司调整以下产品交易限额：</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626"/>
        <w:gridCol w:w="1721"/>
        <w:gridCol w:w="1528"/>
        <w:gridCol w:w="1683"/>
      </w:tblGrid>
      <w:tr w14:paraId="1A6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Align w:val="center"/>
          </w:tcPr>
          <w:p w14:paraId="26BE4D6D">
            <w:pPr>
              <w:jc w:val="center"/>
              <w:rPr>
                <w:rFonts w:ascii="宋体" w:hAnsi="宋体" w:eastAsia="宋体"/>
                <w:b/>
                <w:sz w:val="18"/>
                <w:szCs w:val="18"/>
              </w:rPr>
            </w:pPr>
            <w:r>
              <w:rPr>
                <w:rFonts w:hint="eastAsia" w:ascii="宋体" w:hAnsi="宋体" w:eastAsia="宋体"/>
                <w:b/>
                <w:sz w:val="18"/>
                <w:szCs w:val="18"/>
              </w:rPr>
              <w:t>产品名称</w:t>
            </w:r>
          </w:p>
        </w:tc>
        <w:tc>
          <w:tcPr>
            <w:tcW w:w="953" w:type="pct"/>
            <w:vAlign w:val="center"/>
          </w:tcPr>
          <w:p w14:paraId="6DAD1A59">
            <w:pPr>
              <w:jc w:val="center"/>
              <w:rPr>
                <w:rFonts w:ascii="宋体" w:hAnsi="宋体" w:eastAsia="宋体"/>
                <w:b/>
                <w:sz w:val="18"/>
                <w:szCs w:val="18"/>
              </w:rPr>
            </w:pPr>
            <w:r>
              <w:rPr>
                <w:rFonts w:hint="eastAsia" w:ascii="宋体" w:hAnsi="宋体" w:eastAsia="宋体"/>
                <w:b/>
                <w:sz w:val="18"/>
                <w:szCs w:val="18"/>
              </w:rPr>
              <w:t>全国银行业理财信息登记系统编码</w:t>
            </w:r>
          </w:p>
        </w:tc>
        <w:tc>
          <w:tcPr>
            <w:tcW w:w="1009" w:type="pct"/>
            <w:vAlign w:val="center"/>
          </w:tcPr>
          <w:p w14:paraId="3CF81532">
            <w:pPr>
              <w:jc w:val="center"/>
              <w:rPr>
                <w:rFonts w:hint="eastAsia" w:ascii="宋体" w:hAnsi="宋体" w:eastAsia="宋体"/>
                <w:b/>
                <w:sz w:val="18"/>
                <w:szCs w:val="18"/>
              </w:rPr>
            </w:pPr>
            <w:r>
              <w:rPr>
                <w:rFonts w:hint="eastAsia" w:ascii="宋体" w:hAnsi="宋体" w:eastAsia="宋体"/>
                <w:b/>
                <w:sz w:val="18"/>
                <w:szCs w:val="18"/>
              </w:rPr>
              <w:t>单日申购总份额</w:t>
            </w:r>
          </w:p>
          <w:p w14:paraId="06C69AC9">
            <w:pPr>
              <w:jc w:val="center"/>
              <w:rPr>
                <w:rFonts w:ascii="宋体" w:hAnsi="宋体" w:eastAsia="宋体"/>
                <w:b/>
                <w:sz w:val="18"/>
                <w:szCs w:val="18"/>
              </w:rPr>
            </w:pPr>
            <w:r>
              <w:rPr>
                <w:rFonts w:hint="eastAsia" w:ascii="宋体" w:hAnsi="宋体" w:eastAsia="宋体"/>
                <w:b/>
                <w:sz w:val="18"/>
                <w:szCs w:val="18"/>
                <w:lang w:eastAsia="zh-CN"/>
              </w:rPr>
              <w:t>（</w:t>
            </w:r>
            <w:r>
              <w:rPr>
                <w:rFonts w:hint="eastAsia" w:ascii="宋体" w:hAnsi="宋体" w:eastAsia="宋体"/>
                <w:b/>
                <w:sz w:val="18"/>
                <w:szCs w:val="18"/>
              </w:rPr>
              <w:t>调整前</w:t>
            </w:r>
            <w:r>
              <w:rPr>
                <w:rFonts w:hint="eastAsia" w:ascii="宋体" w:hAnsi="宋体" w:eastAsia="宋体"/>
                <w:b/>
                <w:sz w:val="18"/>
                <w:szCs w:val="18"/>
                <w:lang w:eastAsia="zh-CN"/>
              </w:rPr>
              <w:t>）</w:t>
            </w:r>
          </w:p>
        </w:tc>
        <w:tc>
          <w:tcPr>
            <w:tcW w:w="896" w:type="pct"/>
            <w:vAlign w:val="center"/>
          </w:tcPr>
          <w:p w14:paraId="04A0EB27">
            <w:pPr>
              <w:jc w:val="center"/>
              <w:rPr>
                <w:rFonts w:hint="eastAsia" w:ascii="宋体" w:hAnsi="宋体" w:eastAsia="宋体"/>
                <w:b/>
                <w:sz w:val="18"/>
                <w:szCs w:val="18"/>
              </w:rPr>
            </w:pPr>
            <w:r>
              <w:rPr>
                <w:rFonts w:hint="eastAsia" w:ascii="宋体" w:hAnsi="宋体" w:eastAsia="宋体"/>
                <w:b/>
                <w:sz w:val="18"/>
                <w:szCs w:val="18"/>
              </w:rPr>
              <w:t>单日申购总份额</w:t>
            </w:r>
          </w:p>
          <w:p w14:paraId="7AFED1DB">
            <w:pPr>
              <w:jc w:val="center"/>
              <w:rPr>
                <w:rFonts w:ascii="宋体" w:hAnsi="宋体" w:eastAsia="宋体"/>
                <w:b/>
                <w:sz w:val="18"/>
                <w:szCs w:val="18"/>
              </w:rPr>
            </w:pPr>
            <w:r>
              <w:rPr>
                <w:rFonts w:hint="eastAsia" w:ascii="宋体" w:hAnsi="宋体" w:eastAsia="宋体"/>
                <w:b/>
                <w:sz w:val="18"/>
                <w:szCs w:val="18"/>
                <w:lang w:eastAsia="zh-CN"/>
              </w:rPr>
              <w:t>（</w:t>
            </w:r>
            <w:r>
              <w:rPr>
                <w:rFonts w:hint="eastAsia" w:ascii="宋体" w:hAnsi="宋体" w:eastAsia="宋体"/>
                <w:b/>
                <w:sz w:val="18"/>
                <w:szCs w:val="18"/>
              </w:rPr>
              <w:t>调整</w:t>
            </w:r>
            <w:r>
              <w:rPr>
                <w:rFonts w:hint="eastAsia" w:ascii="宋体" w:hAnsi="宋体" w:eastAsia="宋体"/>
                <w:b/>
                <w:sz w:val="18"/>
                <w:szCs w:val="18"/>
                <w:lang w:val="en-US" w:eastAsia="zh-CN"/>
              </w:rPr>
              <w:t>后</w:t>
            </w:r>
            <w:r>
              <w:rPr>
                <w:rFonts w:hint="eastAsia" w:ascii="宋体" w:hAnsi="宋体" w:eastAsia="宋体"/>
                <w:b/>
                <w:sz w:val="18"/>
                <w:szCs w:val="18"/>
                <w:lang w:eastAsia="zh-CN"/>
              </w:rPr>
              <w:t>）</w:t>
            </w:r>
          </w:p>
        </w:tc>
        <w:tc>
          <w:tcPr>
            <w:tcW w:w="987" w:type="pct"/>
            <w:vAlign w:val="center"/>
          </w:tcPr>
          <w:p w14:paraId="59501854">
            <w:pPr>
              <w:jc w:val="center"/>
              <w:rPr>
                <w:rFonts w:ascii="宋体" w:hAnsi="宋体" w:eastAsia="宋体"/>
                <w:b/>
                <w:sz w:val="18"/>
                <w:szCs w:val="18"/>
              </w:rPr>
            </w:pPr>
            <w:r>
              <w:rPr>
                <w:rFonts w:hint="eastAsia" w:ascii="宋体" w:hAnsi="宋体" w:eastAsia="宋体"/>
                <w:b/>
                <w:sz w:val="18"/>
                <w:szCs w:val="18"/>
              </w:rPr>
              <w:t>生效日期</w:t>
            </w:r>
          </w:p>
        </w:tc>
      </w:tr>
      <w:tr w14:paraId="0C1C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152" w:type="pct"/>
            <w:vAlign w:val="center"/>
          </w:tcPr>
          <w:p w14:paraId="57FC22B0">
            <w:pPr>
              <w:jc w:val="center"/>
              <w:rPr>
                <w:rFonts w:ascii="宋体" w:hAnsi="宋体" w:eastAsia="宋体"/>
                <w:sz w:val="18"/>
                <w:szCs w:val="18"/>
              </w:rPr>
            </w:pPr>
            <w:r>
              <w:rPr>
                <w:rFonts w:hint="eastAsia" w:ascii="宋体" w:hAnsi="宋体" w:eastAsia="宋体"/>
                <w:sz w:val="18"/>
                <w:szCs w:val="18"/>
              </w:rPr>
              <w:t>建信理财嘉鑫（稳利）固收类按日开放式产品第40期</w:t>
            </w:r>
          </w:p>
        </w:tc>
        <w:tc>
          <w:tcPr>
            <w:tcW w:w="953" w:type="pct"/>
            <w:vAlign w:val="center"/>
          </w:tcPr>
          <w:p w14:paraId="2154A601">
            <w:pPr>
              <w:jc w:val="center"/>
              <w:rPr>
                <w:rFonts w:ascii="宋体" w:hAnsi="宋体" w:eastAsia="宋体"/>
                <w:sz w:val="18"/>
                <w:szCs w:val="18"/>
              </w:rPr>
            </w:pPr>
            <w:r>
              <w:rPr>
                <w:rFonts w:hint="eastAsia" w:ascii="宋体" w:hAnsi="宋体" w:eastAsia="宋体"/>
                <w:sz w:val="18"/>
                <w:szCs w:val="18"/>
              </w:rPr>
              <w:t>Z7000725001080</w:t>
            </w:r>
          </w:p>
        </w:tc>
        <w:tc>
          <w:tcPr>
            <w:tcW w:w="1009" w:type="pct"/>
            <w:vAlign w:val="center"/>
          </w:tcPr>
          <w:p w14:paraId="6B500B73">
            <w:pPr>
              <w:jc w:val="center"/>
              <w:rPr>
                <w:rFonts w:ascii="宋体" w:hAnsi="宋体" w:eastAsia="宋体"/>
                <w:sz w:val="18"/>
                <w:szCs w:val="18"/>
              </w:rPr>
            </w:pPr>
            <w:r>
              <w:rPr>
                <w:rFonts w:hint="eastAsia" w:ascii="宋体" w:hAnsi="宋体" w:eastAsia="宋体"/>
                <w:sz w:val="18"/>
                <w:szCs w:val="18"/>
                <w:lang w:val="en-US" w:eastAsia="zh-CN"/>
              </w:rPr>
              <w:t>B份额：</w:t>
            </w:r>
            <w:r>
              <w:rPr>
                <w:rFonts w:hint="eastAsia" w:ascii="宋体" w:hAnsi="宋体" w:eastAsia="宋体"/>
                <w:sz w:val="18"/>
                <w:szCs w:val="18"/>
              </w:rPr>
              <w:t>不超过</w:t>
            </w:r>
            <w:r>
              <w:rPr>
                <w:rFonts w:hint="eastAsia" w:ascii="宋体" w:hAnsi="宋体" w:eastAsia="宋体"/>
                <w:sz w:val="18"/>
                <w:szCs w:val="18"/>
                <w:lang w:val="en-US" w:eastAsia="zh-CN"/>
              </w:rPr>
              <w:t>2亿</w:t>
            </w:r>
            <w:r>
              <w:rPr>
                <w:rFonts w:hint="eastAsia" w:ascii="宋体" w:hAnsi="宋体" w:eastAsia="宋体"/>
                <w:sz w:val="18"/>
                <w:szCs w:val="18"/>
              </w:rPr>
              <w:t>份</w:t>
            </w:r>
          </w:p>
        </w:tc>
        <w:tc>
          <w:tcPr>
            <w:tcW w:w="896" w:type="pct"/>
            <w:vAlign w:val="center"/>
          </w:tcPr>
          <w:p w14:paraId="3F80F653">
            <w:pPr>
              <w:jc w:val="center"/>
              <w:rPr>
                <w:rFonts w:ascii="宋体" w:hAnsi="宋体" w:eastAsia="宋体"/>
                <w:sz w:val="18"/>
                <w:szCs w:val="18"/>
              </w:rPr>
            </w:pPr>
            <w:r>
              <w:rPr>
                <w:rFonts w:hint="eastAsia" w:ascii="宋体" w:hAnsi="宋体" w:eastAsia="宋体"/>
                <w:sz w:val="18"/>
                <w:szCs w:val="18"/>
                <w:lang w:val="en-US" w:eastAsia="zh-CN"/>
              </w:rPr>
              <w:t>B份额：</w:t>
            </w:r>
            <w:r>
              <w:rPr>
                <w:rFonts w:hint="eastAsia" w:ascii="宋体" w:hAnsi="宋体" w:eastAsia="宋体"/>
                <w:sz w:val="18"/>
                <w:szCs w:val="18"/>
              </w:rPr>
              <w:t>不超过</w:t>
            </w:r>
            <w:r>
              <w:rPr>
                <w:rFonts w:hint="eastAsia" w:ascii="宋体" w:hAnsi="宋体" w:eastAsia="宋体"/>
                <w:sz w:val="18"/>
                <w:szCs w:val="18"/>
                <w:lang w:val="en-US" w:eastAsia="zh-CN"/>
              </w:rPr>
              <w:t>5亿</w:t>
            </w:r>
            <w:r>
              <w:rPr>
                <w:rFonts w:hint="eastAsia" w:ascii="宋体" w:hAnsi="宋体" w:eastAsia="宋体"/>
                <w:sz w:val="18"/>
                <w:szCs w:val="18"/>
              </w:rPr>
              <w:t>份</w:t>
            </w:r>
          </w:p>
        </w:tc>
        <w:tc>
          <w:tcPr>
            <w:tcW w:w="987" w:type="pct"/>
            <w:vAlign w:val="center"/>
          </w:tcPr>
          <w:p w14:paraId="6783EF56">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02</w:t>
            </w:r>
            <w:r>
              <w:rPr>
                <w:rFonts w:hint="eastAsia" w:ascii="宋体" w:hAnsi="宋体" w:eastAsia="宋体"/>
                <w:sz w:val="18"/>
                <w:szCs w:val="18"/>
              </w:rPr>
              <w:t>6年5月</w:t>
            </w:r>
            <w:r>
              <w:rPr>
                <w:rFonts w:hint="eastAsia" w:ascii="宋体" w:hAnsi="宋体" w:eastAsia="宋体"/>
                <w:sz w:val="18"/>
                <w:szCs w:val="18"/>
                <w:lang w:val="en-US" w:eastAsia="zh-CN"/>
              </w:rPr>
              <w:t>13</w:t>
            </w:r>
            <w:r>
              <w:rPr>
                <w:rFonts w:hint="eastAsia" w:ascii="宋体" w:hAnsi="宋体" w:eastAsia="宋体"/>
                <w:sz w:val="18"/>
                <w:szCs w:val="18"/>
              </w:rPr>
              <w:t>日</w:t>
            </w:r>
          </w:p>
        </w:tc>
      </w:tr>
    </w:tbl>
    <w:p w14:paraId="373ECED3">
      <w:pPr>
        <w:rPr>
          <w:rFonts w:ascii="彩虹粗仿宋" w:hAnsi="微软雅黑" w:eastAsia="彩虹粗仿宋" w:cs="宋体"/>
          <w:color w:val="333333"/>
          <w:kern w:val="0"/>
          <w:sz w:val="32"/>
          <w:szCs w:val="32"/>
        </w:rPr>
      </w:pPr>
    </w:p>
    <w:p w14:paraId="53A711BD">
      <w:pPr>
        <w:pStyle w:val="2"/>
        <w:spacing w:before="0" w:beforeAutospacing="0" w:after="0" w:afterAutospacing="0" w:line="360" w:lineRule="auto"/>
        <w:ind w:firstLine="42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1E2ADF15">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建信理财有限责任公司将本着勤勉尽职的原则持续为您提供专业化理财服务。</w:t>
      </w:r>
    </w:p>
    <w:p w14:paraId="6DBCE29F">
      <w:pPr>
        <w:ind w:firstLine="646" w:firstLineChars="202"/>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024EDE3C">
      <w:pPr>
        <w:ind w:firstLine="646" w:firstLineChars="202"/>
        <w:rPr>
          <w:rFonts w:ascii="彩虹粗仿宋" w:hAnsi="微软雅黑" w:eastAsia="彩虹粗仿宋" w:cs="宋体"/>
          <w:color w:val="333333"/>
          <w:kern w:val="0"/>
          <w:sz w:val="32"/>
          <w:szCs w:val="32"/>
        </w:rPr>
      </w:pPr>
    </w:p>
    <w:p w14:paraId="26B049A3">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405C1A4">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lang w:val="en-US" w:eastAsia="zh-CN"/>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13</w:t>
      </w:r>
      <w:r>
        <w:rPr>
          <w:rFonts w:ascii="彩虹粗仿宋" w:hAnsi="微软雅黑" w:eastAsia="彩虹粗仿宋" w:cs="宋体"/>
          <w:color w:val="333333"/>
          <w:kern w:val="0"/>
          <w:sz w:val="32"/>
          <w:szCs w:val="32"/>
        </w:rPr>
        <w:t>日</w:t>
      </w:r>
    </w:p>
    <w:p w14:paraId="0E17C6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360DD"/>
    <w:rsid w:val="10CA0968"/>
    <w:rsid w:val="142D0FD0"/>
    <w:rsid w:val="1AA3308E"/>
    <w:rsid w:val="23E53E2A"/>
    <w:rsid w:val="3D853824"/>
    <w:rsid w:val="52937F3D"/>
    <w:rsid w:val="58D971B2"/>
    <w:rsid w:val="60923DFD"/>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2026-05-12T01:44:00Z</dcterms:created>
  <dc:creator>jxlc</dc:creator>
  <cp:lastModifiedBy>jxlc</cp:lastModifiedBy>
  <dcterms:modified xsi:type="dcterms:W3CDTF">2026-05-13T01:32:30Z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