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关于建信理财部分产品管理费率优惠的公告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863"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4CF2CB2E">
            <w:pPr>
              <w:autoSpaceDE w:val="0"/>
              <w:autoSpaceDN w:val="0"/>
              <w:adjustRightInd w:val="0"/>
              <w:jc w:val="center"/>
            </w:pPr>
          </w:p>
        </w:tc>
        <w:tc>
          <w:tcPr>
            <w:tcW w:w="1044" w:type="pct"/>
            <w:vMerge w:val="continue"/>
            <w:vAlign w:val="center"/>
          </w:tcPr>
          <w:p w14:paraId="6B3E051E">
            <w:pPr>
              <w:autoSpaceDE w:val="0"/>
              <w:autoSpaceDN w:val="0"/>
              <w:adjustRightInd w:val="0"/>
              <w:jc w:val="center"/>
            </w:pPr>
          </w:p>
        </w:tc>
        <w:tc>
          <w:tcPr>
            <w:tcW w:w="519"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5FCB56AC">
            <w:pPr>
              <w:autoSpaceDE w:val="0"/>
              <w:autoSpaceDN w:val="0"/>
              <w:adjustRightInd w:val="0"/>
              <w:jc w:val="center"/>
              <w:rPr>
                <w:rFonts w:ascii="彩虹粗仿宋" w:eastAsia="彩虹粗仿宋"/>
                <w:szCs w:val="21"/>
              </w:rPr>
            </w:pPr>
          </w:p>
        </w:tc>
        <w:tc>
          <w:tcPr>
            <w:tcW w:w="876" w:type="pct"/>
            <w:vMerge w:val="continue"/>
            <w:vAlign w:val="center"/>
          </w:tcPr>
          <w:p w14:paraId="1C7A8254">
            <w:pPr>
              <w:autoSpaceDE w:val="0"/>
              <w:autoSpaceDN w:val="0"/>
              <w:adjustRightInd w:val="0"/>
              <w:jc w:val="center"/>
              <w:rPr>
                <w:rFonts w:ascii="彩虹粗仿宋" w:eastAsia="彩虹粗仿宋"/>
                <w:szCs w:val="21"/>
              </w:rPr>
            </w:pPr>
          </w:p>
        </w:tc>
      </w:tr>
      <w:tr w14:paraId="4A4A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788CAD27">
            <w:pPr>
              <w:autoSpaceDE w:val="0"/>
              <w:autoSpaceDN w:val="0"/>
              <w:adjustRightInd w:val="0"/>
              <w:jc w:val="center"/>
              <w:rPr>
                <w:rFonts w:ascii="彩虹粗仿宋" w:eastAsia="彩虹粗仿宋"/>
                <w:szCs w:val="21"/>
                <w:highlight w:val="none"/>
              </w:rPr>
            </w:pPr>
            <w:bookmarkStart w:id="0" w:name="_GoBack" w:colFirst="0" w:colLast="4"/>
            <w:r>
              <w:rPr>
                <w:rFonts w:hint="eastAsia" w:ascii="彩虹粗仿宋" w:eastAsia="彩虹粗仿宋"/>
                <w:szCs w:val="21"/>
                <w:highlight w:val="none"/>
                <w:lang w:val="en-US" w:eastAsia="zh-CN"/>
              </w:rPr>
              <w:t>建信理财嘉鑫（债券精选）固收类封闭式产品2026年第333期</w:t>
            </w:r>
          </w:p>
        </w:tc>
        <w:tc>
          <w:tcPr>
            <w:tcW w:w="1931" w:type="dxa"/>
            <w:vAlign w:val="center"/>
          </w:tcPr>
          <w:p w14:paraId="622B8871">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lang w:val="en-US" w:eastAsia="zh-CN"/>
              </w:rPr>
              <w:t>Z7000726000436</w:t>
            </w:r>
          </w:p>
        </w:tc>
        <w:tc>
          <w:tcPr>
            <w:tcW w:w="961" w:type="dxa"/>
            <w:vAlign w:val="center"/>
          </w:tcPr>
          <w:p w14:paraId="66E938AB">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w:t>
            </w:r>
          </w:p>
        </w:tc>
        <w:tc>
          <w:tcPr>
            <w:tcW w:w="972" w:type="dxa"/>
            <w:vAlign w:val="center"/>
          </w:tcPr>
          <w:p w14:paraId="28E0500C">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lang w:val="en-US" w:eastAsia="zh-CN"/>
              </w:rPr>
              <w:t>0.05%</w:t>
            </w:r>
          </w:p>
        </w:tc>
        <w:tc>
          <w:tcPr>
            <w:tcW w:w="1596" w:type="dxa"/>
            <w:vAlign w:val="center"/>
          </w:tcPr>
          <w:p w14:paraId="4E4EF5E2">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27</w:t>
            </w:r>
            <w:r>
              <w:rPr>
                <w:rFonts w:hint="eastAsia" w:ascii="彩虹粗仿宋" w:eastAsia="彩虹粗仿宋"/>
                <w:szCs w:val="21"/>
                <w:highlight w:val="none"/>
              </w:rPr>
              <w:t>日</w:t>
            </w:r>
          </w:p>
        </w:tc>
        <w:tc>
          <w:tcPr>
            <w:tcW w:w="876" w:type="pct"/>
            <w:vAlign w:val="center"/>
          </w:tcPr>
          <w:p w14:paraId="15621E40">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rPr>
              <w:t>2026</w:t>
            </w:r>
            <w:r>
              <w:rPr>
                <w:rFonts w:hint="eastAsia" w:ascii="彩虹粗仿宋" w:eastAsia="彩虹粗仿宋"/>
                <w:szCs w:val="21"/>
                <w:lang w:val="en-US" w:eastAsia="zh-CN"/>
              </w:rPr>
              <w:t>年</w:t>
            </w:r>
            <w:r>
              <w:rPr>
                <w:rFonts w:hint="eastAsia" w:ascii="彩虹粗仿宋" w:eastAsia="彩虹粗仿宋"/>
                <w:szCs w:val="21"/>
              </w:rPr>
              <w:t>8</w:t>
            </w:r>
            <w:r>
              <w:rPr>
                <w:rFonts w:hint="eastAsia" w:ascii="彩虹粗仿宋" w:eastAsia="彩虹粗仿宋"/>
                <w:szCs w:val="21"/>
                <w:lang w:val="en-US" w:eastAsia="zh-CN"/>
              </w:rPr>
              <w:t>月26日</w:t>
            </w:r>
          </w:p>
        </w:tc>
      </w:tr>
      <w:tr w14:paraId="7399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47F0BC5D">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lang w:val="en-US" w:eastAsia="zh-CN"/>
              </w:rPr>
              <w:t>建信理财嘉鑫（债券精选）固收类封闭式产品2026年第127期</w:t>
            </w:r>
          </w:p>
        </w:tc>
        <w:tc>
          <w:tcPr>
            <w:tcW w:w="1931" w:type="dxa"/>
            <w:vAlign w:val="center"/>
          </w:tcPr>
          <w:p w14:paraId="3F50BE51">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lang w:val="en-US" w:eastAsia="zh-CN"/>
              </w:rPr>
              <w:t>Z7000726000100</w:t>
            </w:r>
          </w:p>
        </w:tc>
        <w:tc>
          <w:tcPr>
            <w:tcW w:w="961" w:type="dxa"/>
            <w:vAlign w:val="center"/>
          </w:tcPr>
          <w:p w14:paraId="48D9CF6A">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w:t>
            </w:r>
          </w:p>
        </w:tc>
        <w:tc>
          <w:tcPr>
            <w:tcW w:w="972" w:type="dxa"/>
            <w:vAlign w:val="center"/>
          </w:tcPr>
          <w:p w14:paraId="7A1FFABC">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lang w:val="en-US" w:eastAsia="zh-CN"/>
              </w:rPr>
              <w:t>0.05%</w:t>
            </w:r>
          </w:p>
        </w:tc>
        <w:tc>
          <w:tcPr>
            <w:tcW w:w="1596" w:type="dxa"/>
            <w:vAlign w:val="center"/>
          </w:tcPr>
          <w:p w14:paraId="2B49D705">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27</w:t>
            </w:r>
            <w:r>
              <w:rPr>
                <w:rFonts w:hint="eastAsia" w:ascii="彩虹粗仿宋" w:eastAsia="彩虹粗仿宋"/>
                <w:szCs w:val="21"/>
                <w:highlight w:val="none"/>
              </w:rPr>
              <w:t>日</w:t>
            </w:r>
          </w:p>
        </w:tc>
        <w:tc>
          <w:tcPr>
            <w:tcW w:w="876" w:type="pct"/>
            <w:vAlign w:val="center"/>
          </w:tcPr>
          <w:p w14:paraId="584638AE">
            <w:pPr>
              <w:autoSpaceDE w:val="0"/>
              <w:autoSpaceDN w:val="0"/>
              <w:adjustRightInd w:val="0"/>
              <w:jc w:val="center"/>
              <w:rPr>
                <w:rFonts w:ascii="彩虹粗仿宋" w:eastAsia="彩虹粗仿宋"/>
                <w:szCs w:val="21"/>
              </w:rPr>
            </w:pPr>
            <w:r>
              <w:rPr>
                <w:rFonts w:hint="eastAsia" w:ascii="彩虹粗仿宋" w:eastAsia="彩虹粗仿宋"/>
                <w:szCs w:val="21"/>
              </w:rPr>
              <w:t>2026</w:t>
            </w:r>
            <w:r>
              <w:rPr>
                <w:rFonts w:hint="eastAsia" w:ascii="彩虹粗仿宋" w:eastAsia="彩虹粗仿宋"/>
                <w:szCs w:val="21"/>
                <w:lang w:val="en-US" w:eastAsia="zh-CN"/>
              </w:rPr>
              <w:t>年</w:t>
            </w:r>
            <w:r>
              <w:rPr>
                <w:rFonts w:hint="eastAsia" w:ascii="彩虹粗仿宋" w:eastAsia="彩虹粗仿宋"/>
                <w:szCs w:val="21"/>
              </w:rPr>
              <w:t>8</w:t>
            </w:r>
            <w:r>
              <w:rPr>
                <w:rFonts w:hint="eastAsia" w:ascii="彩虹粗仿宋" w:eastAsia="彩虹粗仿宋"/>
                <w:szCs w:val="21"/>
                <w:lang w:val="en-US" w:eastAsia="zh-CN"/>
              </w:rPr>
              <w:t>月26日</w:t>
            </w:r>
          </w:p>
        </w:tc>
      </w:tr>
      <w:bookmarkEnd w:id="0"/>
    </w:tbl>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自优惠结束日后，管理费率恢复至原费率水平。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6BB372F">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5</w:t>
      </w:r>
      <w:r>
        <w:rPr>
          <w:rFonts w:ascii="彩虹粗仿宋" w:hAnsi="微软雅黑" w:eastAsia="彩虹粗仿宋" w:cs="宋体"/>
          <w:color w:val="333333"/>
          <w:kern w:val="0"/>
          <w:sz w:val="32"/>
          <w:szCs w:val="32"/>
        </w:rPr>
        <w:t xml:space="preserve">月 </w:t>
      </w:r>
      <w:r>
        <w:rPr>
          <w:rFonts w:hint="eastAsia" w:ascii="彩虹粗仿宋" w:hAnsi="微软雅黑" w:eastAsia="彩虹粗仿宋" w:cs="宋体"/>
          <w:color w:val="333333"/>
          <w:kern w:val="0"/>
          <w:sz w:val="32"/>
          <w:szCs w:val="32"/>
          <w:lang w:val="en-US" w:eastAsia="zh-CN"/>
        </w:rPr>
        <w:t>21</w:t>
      </w:r>
      <w:r>
        <w:rPr>
          <w:rFonts w:ascii="彩虹粗仿宋" w:hAnsi="微软雅黑" w:eastAsia="彩虹粗仿宋" w:cs="宋体"/>
          <w:color w:val="333333"/>
          <w:kern w:val="0"/>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8F30F8"/>
    <w:rsid w:val="00942DCA"/>
    <w:rsid w:val="0A1217C2"/>
    <w:rsid w:val="12504506"/>
    <w:rsid w:val="194D5F57"/>
    <w:rsid w:val="2416383E"/>
    <w:rsid w:val="25E67C21"/>
    <w:rsid w:val="33487838"/>
    <w:rsid w:val="366F06AF"/>
    <w:rsid w:val="38A7009D"/>
    <w:rsid w:val="3B954FF7"/>
    <w:rsid w:val="46143433"/>
    <w:rsid w:val="461C5E16"/>
    <w:rsid w:val="47532DA2"/>
    <w:rsid w:val="49553C3F"/>
    <w:rsid w:val="50C75131"/>
    <w:rsid w:val="51F34B83"/>
    <w:rsid w:val="66094DF3"/>
    <w:rsid w:val="69130921"/>
    <w:rsid w:val="6B7B5F97"/>
    <w:rsid w:val="6DF734E2"/>
    <w:rsid w:val="70F71FC0"/>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Words>
  <Characters>412</Characters>
  <Lines>3</Lines>
  <Paragraphs>1</Paragraphs>
  <TotalTime>1</TotalTime>
  <ScaleCrop>false</ScaleCrop>
  <LinksUpToDate>false</LinksUpToDate>
  <CharactersWithSpaces>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2026-05-21T06:25:13Z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