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建信理财龙宝现金管理类产品15号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-JXJXLBGS260312015</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建信理财龙宝现金管理类产品15号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190"/>
        <w:gridCol w:w="2280"/>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190"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2280"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建信理财龙宝现金管理类产品15号</w:t>
            </w:r>
          </w:p>
        </w:tc>
        <w:tc>
          <w:tcPr>
            <w:tcW w:w="2190"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Z7000726000721</w:t>
            </w:r>
          </w:p>
        </w:tc>
        <w:tc>
          <w:tcPr>
            <w:tcW w:w="2280"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22</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302046BC"/>
    <w:rsid w:val="34FD0C24"/>
    <w:rsid w:val="350C32A2"/>
    <w:rsid w:val="38020845"/>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4</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2026-05-18T06:45:27Z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8ACCAE26C76541298172DF4D23C39EDE_13</vt:lpwstr>
  </property>
</Properties>
</file>